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0" w:lineRule="atLeast"/>
        <w:jc w:val="center"/>
        <w:rPr>
          <w:rFonts w:ascii="宋体" w:hAnsi="宋体"/>
          <w:sz w:val="10"/>
          <w:szCs w:val="10"/>
        </w:rPr>
      </w:pPr>
    </w:p>
    <w:p>
      <w:pPr>
        <w:overflowPunct w:val="0"/>
        <w:adjustRightInd w:val="0"/>
        <w:snapToGrid w:val="0"/>
        <w:spacing w:line="0" w:lineRule="atLeast"/>
        <w:jc w:val="center"/>
        <w:rPr>
          <w:rFonts w:ascii="宋体" w:hAnsi="宋体"/>
          <w:sz w:val="10"/>
          <w:szCs w:val="10"/>
        </w:rPr>
      </w:pPr>
    </w:p>
    <w:p>
      <w:pPr>
        <w:overflowPunct w:val="0"/>
        <w:adjustRightInd w:val="0"/>
        <w:snapToGrid w:val="0"/>
        <w:spacing w:line="240" w:lineRule="atLeast"/>
        <w:jc w:val="center"/>
        <w:rPr>
          <w:rFonts w:ascii="宋体"/>
          <w:sz w:val="32"/>
          <w:szCs w:val="32"/>
        </w:rPr>
      </w:pPr>
      <w:r>
        <w:rPr>
          <w:rFonts w:hint="eastAsia" w:ascii="宋体" w:hAnsi="宋体"/>
          <w:sz w:val="32"/>
          <w:szCs w:val="32"/>
        </w:rPr>
        <w:t>内团联发〔202</w:t>
      </w:r>
      <w:r>
        <w:rPr>
          <w:rFonts w:ascii="宋体" w:hAnsi="宋体"/>
          <w:sz w:val="32"/>
          <w:szCs w:val="32"/>
        </w:rPr>
        <w:t>4</w:t>
      </w:r>
      <w:r>
        <w:rPr>
          <w:rFonts w:hint="eastAsia" w:ascii="宋体" w:hAnsi="宋体"/>
          <w:sz w:val="32"/>
          <w:szCs w:val="32"/>
        </w:rPr>
        <w:t>〕</w:t>
      </w:r>
      <w:r>
        <w:rPr>
          <w:rFonts w:ascii="宋体" w:hAnsi="宋体"/>
          <w:sz w:val="32"/>
          <w:szCs w:val="32"/>
        </w:rPr>
        <w:t>11</w:t>
      </w:r>
      <w:r>
        <w:rPr>
          <w:rFonts w:hint="eastAsia" w:ascii="宋体" w:hAnsi="宋体"/>
          <w:sz w:val="32"/>
          <w:szCs w:val="32"/>
        </w:rPr>
        <w:t>号</w:t>
      </w:r>
    </w:p>
    <w:p>
      <w:pPr>
        <w:overflowPunct w:val="0"/>
        <w:adjustRightInd w:val="0"/>
        <w:snapToGrid w:val="0"/>
        <w:spacing w:line="240" w:lineRule="atLeast"/>
        <w:rPr>
          <w:rFonts w:ascii="方正仿宋简体" w:hAnsi="宋体" w:eastAsia="方正仿宋简体"/>
          <w:bCs/>
          <w:sz w:val="10"/>
          <w:szCs w:val="10"/>
        </w:rPr>
      </w:pPr>
    </w:p>
    <w:p>
      <w:pPr>
        <w:overflowPunct w:val="0"/>
        <w:adjustRightInd w:val="0"/>
        <w:snapToGrid w:val="0"/>
        <w:spacing w:line="0" w:lineRule="atLeast"/>
        <w:rPr>
          <w:rFonts w:ascii="仿宋_GB2312" w:hAnsi="仿宋_GB2312" w:eastAsia="仿宋_GB2312"/>
          <w:sz w:val="10"/>
          <w:szCs w:val="10"/>
        </w:rPr>
      </w:pPr>
    </w:p>
    <w:p>
      <w:pPr>
        <w:overflowPunct w:val="0"/>
        <w:adjustRightInd w:val="0"/>
        <w:snapToGrid w:val="0"/>
        <w:spacing w:line="0" w:lineRule="atLeast"/>
        <w:rPr>
          <w:rFonts w:ascii="仿宋_GB2312" w:hAnsi="仿宋_GB2312" w:eastAsia="仿宋_GB2312"/>
          <w:sz w:val="10"/>
          <w:szCs w:val="10"/>
        </w:rPr>
      </w:pPr>
    </w:p>
    <w:p>
      <w:pPr>
        <w:pStyle w:val="3"/>
        <w:overflowPunct w:val="0"/>
        <w:adjustRightInd w:val="0"/>
        <w:snapToGrid w:val="0"/>
        <w:spacing w:before="0" w:line="0" w:lineRule="atLeast"/>
        <w:ind w:left="0" w:firstLine="200"/>
        <w:rPr>
          <w:sz w:val="10"/>
          <w:szCs w:val="10"/>
          <w:lang w:val="en-US" w:bidi="ar-SA"/>
        </w:rPr>
      </w:pPr>
    </w:p>
    <w:p>
      <w:pPr>
        <w:pStyle w:val="3"/>
        <w:overflowPunct w:val="0"/>
        <w:adjustRightInd w:val="0"/>
        <w:snapToGrid w:val="0"/>
        <w:spacing w:before="0" w:line="0" w:lineRule="atLeast"/>
        <w:ind w:left="0" w:firstLine="200"/>
        <w:rPr>
          <w:sz w:val="10"/>
          <w:szCs w:val="10"/>
          <w:lang w:val="en-US" w:bidi="ar-SA"/>
        </w:rPr>
      </w:pPr>
    </w:p>
    <w:p>
      <w:pPr>
        <w:pStyle w:val="9"/>
        <w:shd w:val="clear" w:color="auto" w:fill="FFFFFF"/>
        <w:overflowPunct w:val="0"/>
        <w:spacing w:beforeAutospacing="0" w:afterAutospacing="0" w:line="600" w:lineRule="exact"/>
        <w:jc w:val="center"/>
        <w:rPr>
          <w:rFonts w:ascii="方正小标宋简体" w:hAnsi="Times New Roman" w:eastAsia="方正小标宋简体" w:cs="方正小标宋简体"/>
          <w:snapToGrid w:val="0"/>
          <w:color w:val="000000" w:themeColor="text1"/>
          <w:sz w:val="44"/>
          <w:szCs w:val="44"/>
          <w:shd w:val="clear" w:color="auto" w:fill="FFFFFF"/>
          <w14:textFill>
            <w14:solidFill>
              <w14:schemeClr w14:val="tx1"/>
            </w14:solidFill>
          </w14:textFill>
        </w:rPr>
      </w:pPr>
      <w:r>
        <w:rPr>
          <w:rFonts w:hint="eastAsia" w:ascii="方正小标宋简体" w:hAnsi="Times New Roman" w:eastAsia="方正小标宋简体" w:cs="方正小标宋简体"/>
          <w:snapToGrid w:val="0"/>
          <w:color w:val="000000" w:themeColor="text1"/>
          <w:sz w:val="44"/>
          <w:szCs w:val="44"/>
          <w:shd w:val="clear" w:color="auto" w:fill="FFFFFF"/>
          <w14:textFill>
            <w14:solidFill>
              <w14:schemeClr w14:val="tx1"/>
            </w14:solidFill>
          </w14:textFill>
        </w:rPr>
        <w:t>关于举办2024年“振兴杯”全区青年</w:t>
      </w:r>
    </w:p>
    <w:p>
      <w:pPr>
        <w:pStyle w:val="9"/>
        <w:shd w:val="clear" w:color="auto" w:fill="FFFFFF"/>
        <w:overflowPunct w:val="0"/>
        <w:spacing w:beforeAutospacing="0" w:afterAutospacing="0" w:line="600" w:lineRule="exact"/>
        <w:jc w:val="center"/>
        <w:rPr>
          <w:rFonts w:ascii="方正小标宋简体" w:hAnsi="Times New Roman" w:eastAsia="方正小标宋简体" w:cs="方正小标宋简体"/>
          <w:snapToGrid w:val="0"/>
          <w:color w:val="000000" w:themeColor="text1"/>
          <w:sz w:val="44"/>
          <w:szCs w:val="44"/>
          <w14:textFill>
            <w14:solidFill>
              <w14:schemeClr w14:val="tx1"/>
            </w14:solidFill>
          </w14:textFill>
        </w:rPr>
      </w:pPr>
      <w:r>
        <w:rPr>
          <w:rFonts w:hint="eastAsia" w:ascii="方正小标宋简体" w:hAnsi="Times New Roman" w:eastAsia="方正小标宋简体" w:cs="方正小标宋简体"/>
          <w:snapToGrid w:val="0"/>
          <w:color w:val="000000" w:themeColor="text1"/>
          <w:sz w:val="44"/>
          <w:szCs w:val="44"/>
          <w:shd w:val="clear" w:color="auto" w:fill="FFFFFF"/>
          <w14:textFill>
            <w14:solidFill>
              <w14:schemeClr w14:val="tx1"/>
            </w14:solidFill>
          </w14:textFill>
        </w:rPr>
        <w:t>职业技能大赛</w:t>
      </w:r>
      <w:r>
        <w:rPr>
          <w:rFonts w:hint="eastAsia" w:ascii="方正小标宋简体" w:hAnsi="Times New Roman" w:eastAsia="方正小标宋简体" w:cs="方正小标宋简体"/>
          <w:snapToGrid w:val="0"/>
          <w:color w:val="000000" w:themeColor="text1"/>
          <w:sz w:val="44"/>
          <w:szCs w:val="44"/>
          <w14:textFill>
            <w14:solidFill>
              <w14:schemeClr w14:val="tx1"/>
            </w14:solidFill>
          </w14:textFill>
        </w:rPr>
        <w:t>（职工组）</w:t>
      </w:r>
      <w:r>
        <w:rPr>
          <w:rFonts w:hint="eastAsia" w:ascii="方正小标宋简体" w:hAnsi="Times New Roman" w:eastAsia="方正小标宋简体" w:cs="方正小标宋简体"/>
          <w:snapToGrid w:val="0"/>
          <w:color w:val="000000" w:themeColor="text1"/>
          <w:sz w:val="44"/>
          <w:szCs w:val="44"/>
          <w:shd w:val="clear" w:color="auto" w:fill="FFFFFF"/>
          <w14:textFill>
            <w14:solidFill>
              <w14:schemeClr w14:val="tx1"/>
            </w14:solidFill>
          </w14:textFill>
        </w:rPr>
        <w:t>的通知</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仿宋_GB2312"/>
          <w:snapToGrid w:val="0"/>
          <w:color w:val="000000" w:themeColor="text1"/>
          <w:sz w:val="32"/>
          <w:szCs w:val="32"/>
          <w14:textFill>
            <w14:solidFill>
              <w14:schemeClr w14:val="tx1"/>
            </w14:solidFill>
          </w14:textFill>
        </w:rPr>
      </w:pPr>
    </w:p>
    <w:p>
      <w:pPr>
        <w:overflowPunct w:val="0"/>
        <w:adjustRightInd w:val="0"/>
        <w:snapToGrid w:val="0"/>
        <w:spacing w:line="600" w:lineRule="exact"/>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各盟市团委、人力资源和社会保障局，满洲里、二连浩特市团委、人力资源和社会保障局，各高等院校、大厂矿企业团委，自治区直属机关团工委、金融团工委、非公经济组织团工委、税务团工委，各行业系统团工（指）委：</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为</w:t>
      </w:r>
      <w:r>
        <w:rPr>
          <w:rFonts w:hint="eastAsia" w:ascii="Times New Roman" w:hAnsi="Times New Roman" w:eastAsia="方正仿宋简体" w:cs="方正仿宋简体"/>
          <w:snapToGrid w:val="0"/>
          <w:color w:val="000000" w:themeColor="text1"/>
          <w:spacing w:val="-4"/>
          <w:kern w:val="0"/>
          <w:sz w:val="32"/>
          <w:szCs w:val="32"/>
          <w14:textFill>
            <w14:solidFill>
              <w14:schemeClr w14:val="tx1"/>
            </w14:solidFill>
          </w14:textFill>
        </w:rPr>
        <w:t>深入学习贯彻习近平新时代中国特色社会主义思想和党的二十大精神，贯彻落实习近平总书记关于青年工作的重要思想和关于技能人才工作的重要指示精神，为广大青年提升职业技能水平和创新创效能力搭建平台，激励广大青年立足本职岗位踊跃投身中国式现代化建设，自治区团委、人力资源和社会保障厅决定联合举办2024年“振兴杯”全区青年职业技能大赛（职工组）（以下简称“大赛”）。现将有关事项通知如下。</w:t>
      </w:r>
    </w:p>
    <w:p>
      <w:pPr>
        <w:pStyle w:val="9"/>
        <w:shd w:val="clear" w:color="auto" w:fill="FFFFFF"/>
        <w:overflowPunct w:val="0"/>
        <w:spacing w:beforeAutospacing="0" w:afterAutospacing="0" w:line="600" w:lineRule="exact"/>
        <w:ind w:firstLine="640" w:firstLineChars="200"/>
        <w:jc w:val="both"/>
        <w:rPr>
          <w:rFonts w:ascii="方正黑体简体" w:hAnsi="Times New Roman" w:eastAsia="方正黑体简体" w:cs="方正黑体简体"/>
          <w:snapToGrid w:val="0"/>
          <w:color w:val="000000" w:themeColor="text1"/>
          <w:sz w:val="32"/>
          <w:szCs w:val="32"/>
          <w14:textFill>
            <w14:solidFill>
              <w14:schemeClr w14:val="tx1"/>
            </w14:solidFill>
          </w14:textFill>
        </w:rPr>
      </w:pPr>
      <w:r>
        <w:rPr>
          <w:rStyle w:val="12"/>
          <w:rFonts w:hint="eastAsia" w:ascii="方正黑体简体" w:hAnsi="Times New Roman" w:eastAsia="方正黑体简体" w:cs="方正黑体简体"/>
          <w:b w:val="0"/>
          <w:snapToGrid w:val="0"/>
          <w:color w:val="000000" w:themeColor="text1"/>
          <w:sz w:val="32"/>
          <w:szCs w:val="32"/>
          <w:shd w:val="clear" w:color="auto" w:fill="FFFFFF"/>
          <w14:textFill>
            <w14:solidFill>
              <w14:schemeClr w14:val="tx1"/>
            </w14:solidFill>
          </w14:textFill>
        </w:rPr>
        <w:t>一、大赛主题</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踔厉奋发启新程　挺膺担当建新功</w:t>
      </w:r>
    </w:p>
    <w:p>
      <w:pPr>
        <w:pStyle w:val="9"/>
        <w:shd w:val="clear" w:color="auto" w:fill="FFFFFF"/>
        <w:overflowPunct w:val="0"/>
        <w:spacing w:beforeAutospacing="0" w:afterAutospacing="0" w:line="600" w:lineRule="exact"/>
        <w:ind w:firstLine="640" w:firstLineChars="200"/>
        <w:jc w:val="both"/>
        <w:rPr>
          <w:rFonts w:ascii="方正黑体简体" w:hAnsi="Times New Roman" w:eastAsia="方正黑体简体" w:cs="方正黑体简体"/>
          <w:snapToGrid w:val="0"/>
          <w:color w:val="000000" w:themeColor="text1"/>
          <w:sz w:val="32"/>
          <w:szCs w:val="32"/>
          <w14:textFill>
            <w14:solidFill>
              <w14:schemeClr w14:val="tx1"/>
            </w14:solidFill>
          </w14:textFill>
        </w:rPr>
      </w:pPr>
      <w:r>
        <w:rPr>
          <w:rFonts w:hint="eastAsia" w:ascii="方正黑体简体" w:hAnsi="Times New Roman" w:eastAsia="方正黑体简体" w:cs="方正黑体简体"/>
          <w:snapToGrid w:val="0"/>
          <w:color w:val="000000" w:themeColor="text1"/>
          <w:sz w:val="32"/>
          <w:szCs w:val="32"/>
          <w14:textFill>
            <w14:solidFill>
              <w14:schemeClr w14:val="tx1"/>
            </w14:solidFill>
          </w14:textFill>
        </w:rPr>
        <w:t>二、大赛内容</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大赛设置主体赛（职业技能竞赛）、专项赛（创新创效竞赛），根据比赛结果，择优选派选手参加第十八届“振兴杯”全国青年职业技能大赛。</w:t>
      </w:r>
    </w:p>
    <w:p>
      <w:pPr>
        <w:pStyle w:val="9"/>
        <w:shd w:val="clear" w:color="auto" w:fill="FFFFFF"/>
        <w:overflowPunct w:val="0"/>
        <w:spacing w:beforeAutospacing="0" w:afterAutospacing="0" w:line="600" w:lineRule="exact"/>
        <w:ind w:firstLine="640" w:firstLineChars="200"/>
        <w:jc w:val="both"/>
        <w:rPr>
          <w:rFonts w:ascii="方正楷体简体" w:hAnsi="Times New Roman" w:eastAsia="方正楷体简体" w:cs="方正楷体简体"/>
          <w:snapToGrid w:val="0"/>
          <w:color w:val="000000" w:themeColor="text1"/>
          <w:sz w:val="32"/>
          <w:szCs w:val="32"/>
          <w14:textFill>
            <w14:solidFill>
              <w14:schemeClr w14:val="tx1"/>
            </w14:solidFill>
          </w14:textFill>
        </w:rPr>
      </w:pPr>
      <w:r>
        <w:rPr>
          <w:rStyle w:val="12"/>
          <w:rFonts w:hint="eastAsia" w:ascii="方正楷体简体" w:hAnsi="Times New Roman" w:eastAsia="方正楷体简体" w:cs="方正楷体简体"/>
          <w:b w:val="0"/>
          <w:snapToGrid w:val="0"/>
          <w:color w:val="000000" w:themeColor="text1"/>
          <w:sz w:val="32"/>
          <w:szCs w:val="32"/>
          <w:shd w:val="clear" w:color="auto" w:fill="FFFFFF"/>
          <w14:textFill>
            <w14:solidFill>
              <w14:schemeClr w14:val="tx1"/>
            </w14:solidFill>
          </w14:textFill>
        </w:rPr>
        <w:t>（一）主体赛（职业技能竞赛）</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bCs/>
          <w:snapToGrid w:val="0"/>
          <w:color w:val="000000" w:themeColor="text1"/>
          <w:sz w:val="32"/>
          <w:szCs w:val="32"/>
          <w14:textFill>
            <w14:solidFill>
              <w14:schemeClr w14:val="tx1"/>
            </w14:solidFill>
          </w14:textFill>
        </w:rPr>
      </w:pPr>
      <w:r>
        <w:rPr>
          <w:rStyle w:val="12"/>
          <w:rFonts w:hint="eastAsia" w:ascii="Times New Roman" w:hAnsi="Times New Roman" w:eastAsia="方正仿宋简体" w:cs="方正仿宋简体"/>
          <w:bCs/>
          <w:snapToGrid w:val="0"/>
          <w:color w:val="000000" w:themeColor="text1"/>
          <w:sz w:val="32"/>
          <w:szCs w:val="32"/>
          <w:shd w:val="clear" w:color="auto" w:fill="FFFFFF"/>
          <w14:textFill>
            <w14:solidFill>
              <w14:schemeClr w14:val="tx1"/>
            </w14:solidFill>
          </w14:textFill>
        </w:rPr>
        <w:t>1．参赛对象</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（1）1989年1月1日后出生的青年职工，优先推荐具有竞赛职业（工种）国家职业资格四级以上证书的青年职工参赛。鼓励“两企三新”领域青年积极参与。</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（2）已获得“中华技能大奖”、“全国技术能手”称号及已通过各类职业技能竞赛取得“全国技术能手”申报资格的职工，不得以选手身份参赛。具有全日制学籍的在校创业学生不得以职工身份参赛。</w:t>
      </w:r>
    </w:p>
    <w:p>
      <w:pPr>
        <w:pStyle w:val="9"/>
        <w:shd w:val="clear" w:color="auto" w:fill="FFFFFF"/>
        <w:overflowPunct w:val="0"/>
        <w:spacing w:beforeAutospacing="0" w:afterAutospacing="0" w:line="600" w:lineRule="exact"/>
        <w:ind w:firstLine="643" w:firstLineChars="200"/>
        <w:jc w:val="both"/>
        <w:rPr>
          <w:rStyle w:val="12"/>
          <w:rFonts w:ascii="Times New Roman" w:hAnsi="Times New Roman" w:eastAsia="方正仿宋简体" w:cs="方正仿宋简体"/>
          <w:bCs/>
          <w:snapToGrid w:val="0"/>
          <w:color w:val="000000" w:themeColor="text1"/>
          <w:sz w:val="32"/>
          <w:szCs w:val="32"/>
          <w:shd w:val="clear" w:color="auto" w:fill="FFFFFF"/>
          <w14:textFill>
            <w14:solidFill>
              <w14:schemeClr w14:val="tx1"/>
            </w14:solidFill>
          </w14:textFill>
        </w:rPr>
      </w:pPr>
      <w:r>
        <w:rPr>
          <w:rStyle w:val="12"/>
          <w:rFonts w:hint="eastAsia" w:ascii="Times New Roman" w:hAnsi="Times New Roman" w:eastAsia="方正仿宋简体" w:cs="方正仿宋简体"/>
          <w:bCs/>
          <w:snapToGrid w:val="0"/>
          <w:color w:val="000000" w:themeColor="text1"/>
          <w:sz w:val="32"/>
          <w:szCs w:val="32"/>
          <w:shd w:val="clear" w:color="auto" w:fill="FFFFFF"/>
          <w14:textFill>
            <w14:solidFill>
              <w14:schemeClr w14:val="tx1"/>
            </w14:solidFill>
          </w14:textFill>
        </w:rPr>
        <w:t>2．竞赛项目</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（1）全国竞赛项目：</w:t>
      </w:r>
    </w:p>
    <w:p>
      <w:pPr>
        <w:numPr>
          <w:ilvl w:val="0"/>
          <w:numId w:val="1"/>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电工、机床装调维修工（双人赛项）。（承办单位：内蒙古北方重工业集团有限公司）</w:t>
      </w:r>
    </w:p>
    <w:p>
      <w:pPr>
        <w:numPr>
          <w:ilvl w:val="0"/>
          <w:numId w:val="1"/>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钳工。（承办单位：内蒙古第一机械集团有限公司）</w:t>
      </w:r>
    </w:p>
    <w:p>
      <w:pPr>
        <w:numPr>
          <w:ilvl w:val="0"/>
          <w:numId w:val="1"/>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信息通信网络线务员（5G网络建设方向）、物联网安装调试员。（承办单位：内蒙古电子信息职业技术学院）</w:t>
      </w:r>
    </w:p>
    <w:p>
      <w:pPr>
        <w:numPr>
          <w:ilvl w:val="0"/>
          <w:numId w:val="2"/>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全区竞赛项目：</w:t>
      </w:r>
    </w:p>
    <w:p>
      <w:pPr>
        <w:numPr>
          <w:ilvl w:val="0"/>
          <w:numId w:val="3"/>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巡检无人机驾驶员。（承办单位：乌海市团委）</w:t>
      </w:r>
    </w:p>
    <w:p>
      <w:pPr>
        <w:numPr>
          <w:ilvl w:val="0"/>
          <w:numId w:val="3"/>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高压试验工、电力通信传输工、业扩报装员（智能办电）、电力网络安全员、电力应急技术员、配电运检工、电力负荷控制员、农网配电工。（承办单位：内蒙古电力（集团）有限责任公司）</w:t>
      </w:r>
    </w:p>
    <w:p>
      <w:pPr>
        <w:numPr>
          <w:ilvl w:val="0"/>
          <w:numId w:val="3"/>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电力机车司机（副司机）、内燃机车司机（副司机）、铁路客运员、铁路运输调度（列车调度员）。（承办单位：中国铁路呼和浩特局集团有限公司）</w:t>
      </w:r>
    </w:p>
    <w:p>
      <w:pPr>
        <w:numPr>
          <w:ilvl w:val="0"/>
          <w:numId w:val="3"/>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数控铣工。（承办单位：中国航天科工集团第六研究院）</w:t>
      </w:r>
    </w:p>
    <w:p>
      <w:pPr>
        <w:numPr>
          <w:ilvl w:val="0"/>
          <w:numId w:val="3"/>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加油站操作员、车用加气站操作员。（承办单位：中国石油天然气股份有限公司内蒙古销售分公司）</w:t>
      </w:r>
    </w:p>
    <w:p>
      <w:pPr>
        <w:numPr>
          <w:ilvl w:val="0"/>
          <w:numId w:val="3"/>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稀土电解工、稀土熔炼工、消防员、煤焦车司机、高炉炼铁工、电机嵌线工、轧钢工（热轧）。（承办单位：包头钢铁（集团）有限责任公司）</w:t>
      </w:r>
    </w:p>
    <w:p>
      <w:pPr>
        <w:numPr>
          <w:ilvl w:val="0"/>
          <w:numId w:val="3"/>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森林抚育工。（承办单位：中国内蒙古森林工业集团有限责任公司）</w:t>
      </w:r>
    </w:p>
    <w:p>
      <w:pPr>
        <w:numPr>
          <w:ilvl w:val="0"/>
          <w:numId w:val="3"/>
        </w:num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通信网络管理员。（承办单位：北奔重型汽车集团有限公司）</w:t>
      </w:r>
    </w:p>
    <w:p>
      <w:pPr>
        <w:pStyle w:val="9"/>
        <w:shd w:val="clear" w:color="auto" w:fill="FFFFFF"/>
        <w:overflowPunct w:val="0"/>
        <w:spacing w:beforeAutospacing="0" w:afterAutospacing="0" w:line="600" w:lineRule="exact"/>
        <w:ind w:firstLine="643" w:firstLineChars="200"/>
        <w:jc w:val="both"/>
        <w:rPr>
          <w:rStyle w:val="12"/>
          <w:rFonts w:ascii="Times New Roman" w:hAnsi="Times New Roman" w:eastAsia="方正仿宋简体" w:cs="方正仿宋简体"/>
          <w:bCs/>
          <w:snapToGrid w:val="0"/>
          <w:color w:val="000000" w:themeColor="text1"/>
          <w:sz w:val="32"/>
          <w:szCs w:val="32"/>
          <w:shd w:val="clear" w:color="auto" w:fill="FFFFFF"/>
          <w14:textFill>
            <w14:solidFill>
              <w14:schemeClr w14:val="tx1"/>
            </w14:solidFill>
          </w14:textFill>
        </w:rPr>
      </w:pPr>
      <w:r>
        <w:rPr>
          <w:rStyle w:val="12"/>
          <w:rFonts w:hint="eastAsia" w:ascii="Times New Roman" w:hAnsi="Times New Roman" w:eastAsia="方正仿宋简体" w:cs="方正仿宋简体"/>
          <w:bCs/>
          <w:snapToGrid w:val="0"/>
          <w:color w:val="000000" w:themeColor="text1"/>
          <w:sz w:val="32"/>
          <w:szCs w:val="32"/>
          <w:shd w:val="clear" w:color="auto" w:fill="FFFFFF"/>
          <w14:textFill>
            <w14:solidFill>
              <w14:schemeClr w14:val="tx1"/>
            </w14:solidFill>
          </w14:textFill>
        </w:rPr>
        <w:t>3．赛事安排</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（1）比赛时间为8月至9月，具体事宜另行通知。</w:t>
      </w:r>
    </w:p>
    <w:p>
      <w:pPr>
        <w:pStyle w:val="3"/>
        <w:overflowPunct w:val="0"/>
        <w:autoSpaceDE/>
        <w:autoSpaceDN/>
        <w:ind w:left="0" w:firstLine="640" w:firstLineChars="200"/>
        <w:jc w:val="both"/>
        <w:rPr>
          <w:rFonts w:ascii="Times New Roman" w:hAnsi="Times New Roman" w:eastAsia="方正仿宋简体"/>
          <w:snapToGrid w:val="0"/>
          <w:color w:val="000000" w:themeColor="text1"/>
          <w14:textFill>
            <w14:solidFill>
              <w14:schemeClr w14:val="tx1"/>
            </w14:solidFill>
          </w14:textFill>
        </w:rPr>
      </w:pPr>
      <w:r>
        <w:rPr>
          <w:rFonts w:hint="eastAsia" w:ascii="Times New Roman" w:hAnsi="Times New Roman" w:eastAsia="方正仿宋简体" w:cs="方正仿宋简体"/>
          <w:snapToGrid w:val="0"/>
          <w:color w:val="000000" w:themeColor="text1"/>
          <w14:textFill>
            <w14:solidFill>
              <w14:schemeClr w14:val="tx1"/>
            </w14:solidFill>
          </w14:textFill>
        </w:rPr>
        <w:t>（</w:t>
      </w:r>
      <w:r>
        <w:rPr>
          <w:rFonts w:hint="eastAsia" w:ascii="Times New Roman" w:hAnsi="Times New Roman" w:eastAsia="方正仿宋简体" w:cs="方正仿宋简体"/>
          <w:snapToGrid w:val="0"/>
          <w:color w:val="000000" w:themeColor="text1"/>
          <w:lang w:val="en-US"/>
          <w14:textFill>
            <w14:solidFill>
              <w14:schemeClr w14:val="tx1"/>
            </w14:solidFill>
          </w14:textFill>
        </w:rPr>
        <w:t>2</w:t>
      </w:r>
      <w:r>
        <w:rPr>
          <w:rFonts w:hint="eastAsia" w:ascii="Times New Roman" w:hAnsi="Times New Roman" w:eastAsia="方正仿宋简体" w:cs="方正仿宋简体"/>
          <w:snapToGrid w:val="0"/>
          <w:color w:val="000000" w:themeColor="text1"/>
          <w14:textFill>
            <w14:solidFill>
              <w14:schemeClr w14:val="tx1"/>
            </w14:solidFill>
          </w14:textFill>
        </w:rPr>
        <w:t>）</w:t>
      </w:r>
      <w:r>
        <w:rPr>
          <w:rFonts w:hint="eastAsia" w:ascii="Times New Roman" w:hAnsi="Times New Roman" w:eastAsia="方正仿宋简体"/>
          <w:snapToGrid w:val="0"/>
          <w:color w:val="000000" w:themeColor="text1"/>
          <w14:textFill>
            <w14:solidFill>
              <w14:schemeClr w14:val="tx1"/>
            </w14:solidFill>
          </w14:textFill>
        </w:rPr>
        <w:t>大赛分初赛和决赛两个阶段进行。初赛由各参赛单位自行组织实施，可通过岗位练兵、技术比武等方式选拔出参加决赛的选手。决赛以竞赛成绩决出优胜者。</w:t>
      </w:r>
    </w:p>
    <w:p>
      <w:pPr>
        <w:pStyle w:val="3"/>
        <w:overflowPunct w:val="0"/>
        <w:autoSpaceDE/>
        <w:autoSpaceDN/>
        <w:ind w:left="0" w:firstLine="640" w:firstLineChars="200"/>
        <w:jc w:val="both"/>
        <w:rPr>
          <w:rFonts w:ascii="Times New Roman" w:hAnsi="Times New Roman" w:eastAsia="方正仿宋简体" w:cs="方正仿宋简体"/>
          <w:snapToGrid w:val="0"/>
          <w:color w:val="000000" w:themeColor="text1"/>
          <w14:textFill>
            <w14:solidFill>
              <w14:schemeClr w14:val="tx1"/>
            </w14:solidFill>
          </w14:textFill>
        </w:rPr>
      </w:pPr>
      <w:r>
        <w:rPr>
          <w:rFonts w:hint="eastAsia" w:ascii="Times New Roman" w:hAnsi="Times New Roman" w:eastAsia="方正仿宋简体" w:cs="方正仿宋简体"/>
          <w:snapToGrid w:val="0"/>
          <w:color w:val="000000" w:themeColor="text1"/>
          <w14:textFill>
            <w14:solidFill>
              <w14:schemeClr w14:val="tx1"/>
            </w14:solidFill>
          </w14:textFill>
        </w:rPr>
        <w:t>（</w:t>
      </w:r>
      <w:r>
        <w:rPr>
          <w:rFonts w:hint="eastAsia" w:ascii="Times New Roman" w:hAnsi="Times New Roman" w:eastAsia="方正仿宋简体" w:cs="方正仿宋简体"/>
          <w:snapToGrid w:val="0"/>
          <w:color w:val="000000" w:themeColor="text1"/>
          <w:lang w:val="en-US"/>
          <w14:textFill>
            <w14:solidFill>
              <w14:schemeClr w14:val="tx1"/>
            </w14:solidFill>
          </w14:textFill>
        </w:rPr>
        <w:t>3</w:t>
      </w:r>
      <w:r>
        <w:rPr>
          <w:rFonts w:hint="eastAsia" w:ascii="Times New Roman" w:hAnsi="Times New Roman" w:eastAsia="方正仿宋简体" w:cs="方正仿宋简体"/>
          <w:snapToGrid w:val="0"/>
          <w:color w:val="000000" w:themeColor="text1"/>
          <w14:textFill>
            <w14:solidFill>
              <w14:schemeClr w14:val="tx1"/>
            </w14:solidFill>
          </w14:textFill>
        </w:rPr>
        <w:t>）技术工种的决赛依据相应《国家职业技能标准》高级工的要求和有关工种具体规定出题。初赛试题由各赛事组织单位自行确定。</w:t>
      </w:r>
    </w:p>
    <w:p>
      <w:pPr>
        <w:pStyle w:val="3"/>
        <w:overflowPunct w:val="0"/>
        <w:autoSpaceDE/>
        <w:autoSpaceDN/>
        <w:ind w:left="0" w:firstLine="640" w:firstLineChars="200"/>
        <w:jc w:val="both"/>
        <w:rPr>
          <w:rFonts w:ascii="Times New Roman" w:hAnsi="Times New Roman" w:eastAsia="方正仿宋简体" w:cs="方正仿宋简体"/>
          <w:snapToGrid w:val="0"/>
          <w:color w:val="000000" w:themeColor="text1"/>
          <w14:textFill>
            <w14:solidFill>
              <w14:schemeClr w14:val="tx1"/>
            </w14:solidFill>
          </w14:textFill>
        </w:rPr>
      </w:pPr>
      <w:r>
        <w:rPr>
          <w:rFonts w:hint="eastAsia" w:ascii="Times New Roman" w:hAnsi="Times New Roman" w:eastAsia="方正仿宋简体" w:cs="方正仿宋简体"/>
          <w:snapToGrid w:val="0"/>
          <w:color w:val="000000" w:themeColor="text1"/>
          <w14:textFill>
            <w14:solidFill>
              <w14:schemeClr w14:val="tx1"/>
            </w14:solidFill>
          </w14:textFill>
        </w:rPr>
        <w:t>（</w:t>
      </w:r>
      <w:r>
        <w:rPr>
          <w:rFonts w:hint="eastAsia" w:ascii="Times New Roman" w:hAnsi="Times New Roman" w:eastAsia="方正仿宋简体" w:cs="方正仿宋简体"/>
          <w:snapToGrid w:val="0"/>
          <w:color w:val="000000" w:themeColor="text1"/>
          <w:lang w:val="en-US"/>
          <w14:textFill>
            <w14:solidFill>
              <w14:schemeClr w14:val="tx1"/>
            </w14:solidFill>
          </w14:textFill>
        </w:rPr>
        <w:t>4</w:t>
      </w:r>
      <w:r>
        <w:rPr>
          <w:rFonts w:hint="eastAsia" w:ascii="Times New Roman" w:hAnsi="Times New Roman" w:eastAsia="方正仿宋简体" w:cs="方正仿宋简体"/>
          <w:snapToGrid w:val="0"/>
          <w:color w:val="000000" w:themeColor="text1"/>
          <w14:textFill>
            <w14:solidFill>
              <w14:schemeClr w14:val="tx1"/>
            </w14:solidFill>
          </w14:textFill>
        </w:rPr>
        <w:t>）决赛由笔试和实际操作两部分组成，笔试成绩占总成绩的30%，实际操作成绩占总成绩的70%。笔试内容包括时事政治、业务知识等，时事政治题占总成绩的10%。决赛理论知识试题从职业技能鉴定国家题库或自治区卷库中抽取，并根据实际情况进行适当调整。题库中没有的职业（工种），由承办单位组织专家命题，并共同审定。</w:t>
      </w:r>
    </w:p>
    <w:p>
      <w:pPr>
        <w:pStyle w:val="3"/>
        <w:overflowPunct w:val="0"/>
        <w:autoSpaceDE/>
        <w:autoSpaceDN/>
        <w:ind w:left="0" w:firstLine="640" w:firstLineChars="200"/>
        <w:jc w:val="both"/>
        <w:rPr>
          <w:rFonts w:ascii="Times New Roman" w:hAnsi="Times New Roman" w:eastAsia="方正仿宋简体" w:cs="方正仿宋简体"/>
          <w:snapToGrid w:val="0"/>
          <w:color w:val="000000" w:themeColor="text1"/>
          <w14:textFill>
            <w14:solidFill>
              <w14:schemeClr w14:val="tx1"/>
            </w14:solidFill>
          </w14:textFill>
        </w:rPr>
      </w:pPr>
      <w:r>
        <w:rPr>
          <w:rFonts w:hint="eastAsia" w:ascii="Times New Roman" w:hAnsi="Times New Roman" w:eastAsia="方正仿宋简体" w:cs="方正仿宋简体"/>
          <w:snapToGrid w:val="0"/>
          <w:color w:val="000000" w:themeColor="text1"/>
          <w14:textFill>
            <w14:solidFill>
              <w14:schemeClr w14:val="tx1"/>
            </w14:solidFill>
          </w14:textFill>
        </w:rPr>
        <w:t>（</w:t>
      </w:r>
      <w:r>
        <w:rPr>
          <w:rFonts w:hint="eastAsia" w:ascii="Times New Roman" w:hAnsi="Times New Roman" w:eastAsia="方正仿宋简体" w:cs="方正仿宋简体"/>
          <w:snapToGrid w:val="0"/>
          <w:color w:val="000000" w:themeColor="text1"/>
          <w:lang w:val="en-US"/>
          <w14:textFill>
            <w14:solidFill>
              <w14:schemeClr w14:val="tx1"/>
            </w14:solidFill>
          </w14:textFill>
        </w:rPr>
        <w:t>5</w:t>
      </w:r>
      <w:r>
        <w:rPr>
          <w:rFonts w:hint="eastAsia" w:ascii="Times New Roman" w:hAnsi="Times New Roman" w:eastAsia="方正仿宋简体" w:cs="方正仿宋简体"/>
          <w:snapToGrid w:val="0"/>
          <w:color w:val="000000" w:themeColor="text1"/>
          <w14:textFill>
            <w14:solidFill>
              <w14:schemeClr w14:val="tx1"/>
            </w14:solidFill>
          </w14:textFill>
        </w:rPr>
        <w:t>）比赛项目中专项技术工种比赛规则、考核规范由各承办单位根据行业系统要求制定。其它技术工种比赛规则、考核规范由各承办单位根据国家相关规定及自治区人力资源和社会保障厅指导制定。</w:t>
      </w:r>
    </w:p>
    <w:p>
      <w:pPr>
        <w:pStyle w:val="9"/>
        <w:shd w:val="clear" w:color="auto" w:fill="FFFFFF"/>
        <w:overflowPunct w:val="0"/>
        <w:spacing w:beforeAutospacing="0" w:afterAutospacing="0" w:line="600" w:lineRule="exact"/>
        <w:ind w:firstLine="643" w:firstLineChars="200"/>
        <w:jc w:val="both"/>
        <w:rPr>
          <w:rStyle w:val="12"/>
          <w:rFonts w:ascii="Times New Roman" w:hAnsi="Times New Roman" w:eastAsia="方正仿宋简体" w:cs="方正仿宋简体"/>
          <w:bCs/>
          <w:snapToGrid w:val="0"/>
          <w:color w:val="000000" w:themeColor="text1"/>
          <w:sz w:val="32"/>
          <w:szCs w:val="32"/>
          <w:shd w:val="clear" w:color="auto" w:fill="FFFFFF"/>
          <w14:textFill>
            <w14:solidFill>
              <w14:schemeClr w14:val="tx1"/>
            </w14:solidFill>
          </w14:textFill>
        </w:rPr>
      </w:pPr>
      <w:r>
        <w:rPr>
          <w:rStyle w:val="12"/>
          <w:rFonts w:hint="eastAsia" w:ascii="Times New Roman" w:hAnsi="Times New Roman" w:eastAsia="方正仿宋简体" w:cs="方正仿宋简体"/>
          <w:bCs/>
          <w:snapToGrid w:val="0"/>
          <w:color w:val="000000" w:themeColor="text1"/>
          <w:sz w:val="32"/>
          <w:szCs w:val="32"/>
          <w:shd w:val="clear" w:color="auto" w:fill="FFFFFF"/>
          <w14:textFill>
            <w14:solidFill>
              <w14:schemeClr w14:val="tx1"/>
            </w14:solidFill>
          </w14:textFill>
        </w:rPr>
        <w:t>4．奖励办法</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参赛人数不少于20人的赛项，经人力资源和社会保障厅核准后，按相关规定，对获奖选手核发职业资格或职业技能等级证书。</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1）获得单人赛项前3名、双人赛项前2名的选手，晋升技师职业资格或职业技能等级，已具有技师职业资格或职业技能等级的，可晋升高级技师职业资格或职业技能等级（本职业现行最高技能等级为技师的，不再晋升）。</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2）获得单人赛项4-6名、双人赛项3-4名的选手，晋升高级工职业资格或职业技能等级，已具有高级工职业资格或职业技能等级的，可晋升技师职业资格或职业技能等级（本职业现行最高技能等级为高级工的，不再晋升）。</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（3）获得单人赛项7-10名、双人赛项5-6名的选手，颁发高级工职业资格或职业技能等级证书。</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（4）比赛项目中属专项职业能力的颁发专项职业能力证书。</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（5）根据赛事组织情况，本次大赛设置“优秀组织奖”若干名。</w:t>
      </w:r>
    </w:p>
    <w:p>
      <w:pPr>
        <w:pStyle w:val="9"/>
        <w:shd w:val="clear" w:color="auto" w:fill="FFFFFF"/>
        <w:overflowPunct w:val="0"/>
        <w:spacing w:beforeAutospacing="0" w:afterAutospacing="0" w:line="600" w:lineRule="exact"/>
        <w:ind w:firstLine="640" w:firstLineChars="200"/>
        <w:jc w:val="both"/>
        <w:rPr>
          <w:rFonts w:ascii="方正楷体简体" w:hAnsi="Times New Roman" w:eastAsia="方正楷体简体" w:cs="方正仿宋简体"/>
          <w:b/>
          <w:bCs/>
          <w:snapToGrid w:val="0"/>
          <w:color w:val="000000" w:themeColor="text1"/>
          <w:sz w:val="32"/>
          <w:szCs w:val="32"/>
          <w14:textFill>
            <w14:solidFill>
              <w14:schemeClr w14:val="tx1"/>
            </w14:solidFill>
          </w14:textFill>
        </w:rPr>
      </w:pPr>
      <w:r>
        <w:rPr>
          <w:rStyle w:val="12"/>
          <w:rFonts w:hint="eastAsia" w:ascii="方正楷体简体" w:hAnsi="Times New Roman" w:eastAsia="方正楷体简体" w:cs="方正楷体简体"/>
          <w:b w:val="0"/>
          <w:snapToGrid w:val="0"/>
          <w:color w:val="000000" w:themeColor="text1"/>
          <w:sz w:val="32"/>
          <w:szCs w:val="32"/>
          <w:shd w:val="clear" w:color="auto" w:fill="FFFFFF"/>
          <w14:textFill>
            <w14:solidFill>
              <w14:schemeClr w14:val="tx1"/>
            </w14:solidFill>
          </w14:textFill>
        </w:rPr>
        <w:t>（二）专项赛（创新创效竞赛）</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bCs/>
          <w:snapToGrid w:val="0"/>
          <w:color w:val="000000" w:themeColor="text1"/>
          <w:sz w:val="32"/>
          <w:szCs w:val="32"/>
          <w14:textFill>
            <w14:solidFill>
              <w14:schemeClr w14:val="tx1"/>
            </w14:solidFill>
          </w14:textFill>
        </w:rPr>
      </w:pPr>
      <w:r>
        <w:rPr>
          <w:rFonts w:hint="eastAsia" w:ascii="Times New Roman" w:hAnsi="Times New Roman" w:eastAsia="方正仿宋简体" w:cs="方正仿宋简体"/>
          <w:b/>
          <w:bCs/>
          <w:snapToGrid w:val="0"/>
          <w:color w:val="000000" w:themeColor="text1"/>
          <w:sz w:val="32"/>
          <w:szCs w:val="32"/>
          <w14:textFill>
            <w14:solidFill>
              <w14:schemeClr w14:val="tx1"/>
            </w14:solidFill>
          </w14:textFill>
        </w:rPr>
        <w:t>1．参赛对象</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1989年1月1日后出生的青年职工。鼓励“两企三新”领域青年积极参与。</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bCs/>
          <w:snapToGrid w:val="0"/>
          <w:color w:val="000000" w:themeColor="text1"/>
          <w:sz w:val="32"/>
          <w:szCs w:val="32"/>
          <w14:textFill>
            <w14:solidFill>
              <w14:schemeClr w14:val="tx1"/>
            </w14:solidFill>
          </w14:textFill>
        </w:rPr>
      </w:pPr>
      <w:r>
        <w:rPr>
          <w:rFonts w:hint="eastAsia" w:ascii="Times New Roman" w:hAnsi="Times New Roman" w:eastAsia="方正仿宋简体" w:cs="方正仿宋简体"/>
          <w:b/>
          <w:bCs/>
          <w:snapToGrid w:val="0"/>
          <w:color w:val="000000" w:themeColor="text1"/>
          <w:sz w:val="32"/>
          <w:szCs w:val="32"/>
          <w14:textFill>
            <w14:solidFill>
              <w14:schemeClr w14:val="tx1"/>
            </w14:solidFill>
          </w14:textFill>
        </w:rPr>
        <w:t>2．竞赛方向</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参赛项目设研发创新、技术革新、管理创新3个竞赛方向，各竞赛方向申报要求详见附件2。</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bCs/>
          <w:snapToGrid w:val="0"/>
          <w:color w:val="000000" w:themeColor="text1"/>
          <w:sz w:val="32"/>
          <w:szCs w:val="32"/>
          <w14:textFill>
            <w14:solidFill>
              <w14:schemeClr w14:val="tx1"/>
            </w14:solidFill>
          </w14:textFill>
        </w:rPr>
      </w:pPr>
      <w:r>
        <w:rPr>
          <w:rFonts w:hint="eastAsia" w:ascii="Times New Roman" w:hAnsi="Times New Roman" w:eastAsia="方正仿宋简体" w:cs="方正仿宋简体"/>
          <w:b/>
          <w:bCs/>
          <w:snapToGrid w:val="0"/>
          <w:color w:val="000000" w:themeColor="text1"/>
          <w:sz w:val="32"/>
          <w:szCs w:val="32"/>
          <w14:textFill>
            <w14:solidFill>
              <w14:schemeClr w14:val="tx1"/>
            </w14:solidFill>
          </w14:textFill>
        </w:rPr>
        <w:t>3．赛事安排</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比赛由中核北方核燃料元件有限公司承办，比赛时间为8月份，具体事宜另行通知。</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各参赛单位对参赛项目进行初评，择优推报参加大赛。</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bCs/>
          <w:snapToGrid w:val="0"/>
          <w:color w:val="000000" w:themeColor="text1"/>
          <w:sz w:val="32"/>
          <w:szCs w:val="32"/>
          <w14:textFill>
            <w14:solidFill>
              <w14:schemeClr w14:val="tx1"/>
            </w14:solidFill>
          </w14:textFill>
        </w:rPr>
      </w:pPr>
      <w:r>
        <w:rPr>
          <w:rFonts w:hint="eastAsia" w:ascii="Times New Roman" w:hAnsi="Times New Roman" w:eastAsia="方正仿宋简体" w:cs="方正仿宋简体"/>
          <w:b/>
          <w:bCs/>
          <w:snapToGrid w:val="0"/>
          <w:color w:val="000000" w:themeColor="text1"/>
          <w:sz w:val="32"/>
          <w:szCs w:val="32"/>
          <w14:textFill>
            <w14:solidFill>
              <w14:schemeClr w14:val="tx1"/>
            </w14:solidFill>
          </w14:textFill>
        </w:rPr>
        <w:t>4．奖励办法</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（1）专项赛3个竞赛方向共设置一等奖3名，二等奖6名，三等奖11名。</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themeColor="text1"/>
          <w:kern w:val="0"/>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kern w:val="0"/>
          <w:sz w:val="32"/>
          <w:szCs w:val="32"/>
          <w14:textFill>
            <w14:solidFill>
              <w14:schemeClr w14:val="tx1"/>
            </w14:solidFill>
          </w14:textFill>
        </w:rPr>
        <w:t>（2）专项赛3个竞赛方向共择优选出20个项目参加第十八届“振兴杯”全国青年职业技能大赛专项赛复赛。</w:t>
      </w:r>
    </w:p>
    <w:p>
      <w:pPr>
        <w:overflowPunct w:val="0"/>
        <w:adjustRightInd w:val="0"/>
        <w:snapToGrid w:val="0"/>
        <w:spacing w:line="600" w:lineRule="exact"/>
        <w:ind w:firstLine="640" w:firstLineChars="200"/>
        <w:rPr>
          <w:rFonts w:ascii="方正黑体简体" w:hAnsi="Times New Roman" w:eastAsia="方正黑体简体" w:cs="方正黑体简体"/>
          <w:snapToGrid w:val="0"/>
          <w:color w:val="000000" w:themeColor="text1"/>
          <w:kern w:val="0"/>
          <w:sz w:val="32"/>
          <w:szCs w:val="32"/>
          <w14:textFill>
            <w14:solidFill>
              <w14:schemeClr w14:val="tx1"/>
            </w14:solidFill>
          </w14:textFill>
        </w:rPr>
      </w:pPr>
      <w:r>
        <w:rPr>
          <w:rFonts w:hint="eastAsia" w:ascii="方正黑体简体" w:hAnsi="Times New Roman" w:eastAsia="方正黑体简体" w:cs="方正仿宋简体"/>
          <w:snapToGrid w:val="0"/>
          <w:color w:val="000000" w:themeColor="text1"/>
          <w:kern w:val="0"/>
          <w:sz w:val="32"/>
          <w:szCs w:val="32"/>
          <w14:textFill>
            <w14:solidFill>
              <w14:schemeClr w14:val="tx1"/>
            </w14:solidFill>
          </w14:textFill>
        </w:rPr>
        <w:t>三、</w:t>
      </w:r>
      <w:r>
        <w:rPr>
          <w:rFonts w:hint="eastAsia" w:ascii="方正黑体简体" w:hAnsi="Times New Roman" w:eastAsia="方正黑体简体" w:cs="方正黑体简体"/>
          <w:snapToGrid w:val="0"/>
          <w:color w:val="000000" w:themeColor="text1"/>
          <w:kern w:val="0"/>
          <w:sz w:val="32"/>
          <w:szCs w:val="32"/>
          <w14:textFill>
            <w14:solidFill>
              <w14:schemeClr w14:val="tx1"/>
            </w14:solidFill>
          </w14:textFill>
        </w:rPr>
        <w:t>有关要求</w:t>
      </w:r>
    </w:p>
    <w:p>
      <w:pPr>
        <w:pStyle w:val="9"/>
        <w:shd w:val="clear" w:color="auto" w:fill="FFFFFF"/>
        <w:overflowPunct w:val="0"/>
        <w:spacing w:beforeAutospacing="0" w:afterAutospacing="0" w:line="600" w:lineRule="exact"/>
        <w:ind w:firstLine="640" w:firstLineChars="200"/>
        <w:jc w:val="both"/>
        <w:rPr>
          <w:rStyle w:val="12"/>
          <w:rFonts w:ascii="Times New Roman" w:hAnsi="Times New Roman" w:eastAsia="方正仿宋简体" w:cs="方正仿宋简体"/>
          <w:b w:val="0"/>
          <w:snapToGrid w:val="0"/>
          <w:color w:val="000000" w:themeColor="text1"/>
          <w:sz w:val="32"/>
          <w:szCs w:val="32"/>
          <w:shd w:val="clear" w:color="auto" w:fill="FFFFFF"/>
          <w14:textFill>
            <w14:solidFill>
              <w14:schemeClr w14:val="tx1"/>
            </w14:solidFill>
          </w14:textFill>
        </w:rPr>
      </w:pPr>
      <w:r>
        <w:rPr>
          <w:rStyle w:val="12"/>
          <w:rFonts w:hint="eastAsia" w:ascii="方正楷体简体" w:hAnsi="Times New Roman" w:eastAsia="方正楷体简体" w:cs="方正楷体简体"/>
          <w:b w:val="0"/>
          <w:snapToGrid w:val="0"/>
          <w:color w:val="000000" w:themeColor="text1"/>
          <w:sz w:val="32"/>
          <w:szCs w:val="32"/>
          <w:shd w:val="clear" w:color="auto" w:fill="FFFFFF"/>
          <w14:textFill>
            <w14:solidFill>
              <w14:schemeClr w14:val="tx1"/>
            </w14:solidFill>
          </w14:textFill>
        </w:rPr>
        <w:t>1．加强组织领导。</w:t>
      </w:r>
      <w:r>
        <w:rPr>
          <w:rStyle w:val="12"/>
          <w:rFonts w:hint="eastAsia" w:ascii="Times New Roman" w:hAnsi="Times New Roman" w:eastAsia="方正仿宋简体" w:cs="方正仿宋简体"/>
          <w:b w:val="0"/>
          <w:snapToGrid w:val="0"/>
          <w:color w:val="000000" w:themeColor="text1"/>
          <w:sz w:val="32"/>
          <w:szCs w:val="32"/>
          <w:shd w:val="clear" w:color="auto" w:fill="FFFFFF"/>
          <w14:textFill>
            <w14:solidFill>
              <w14:schemeClr w14:val="tx1"/>
            </w14:solidFill>
          </w14:textFill>
        </w:rPr>
        <w:t>自治区团委、人力资源和社会保障厅及各承办单位联合成立大赛组委会，组委会办公室设在自治区团委青年发展部，负责日常工作。各承办单位可参照成立相应的组织领导机构，加强工作协调，按照大赛相关要求，做好各项工作。</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r>
        <w:rPr>
          <w:rStyle w:val="12"/>
          <w:rFonts w:hint="eastAsia" w:ascii="方正楷体简体" w:hAnsi="Times New Roman" w:eastAsia="方正楷体简体" w:cs="方正楷体简体"/>
          <w:b w:val="0"/>
          <w:snapToGrid w:val="0"/>
          <w:color w:val="000000" w:themeColor="text1"/>
          <w:sz w:val="32"/>
          <w:szCs w:val="32"/>
          <w:shd w:val="clear" w:color="auto" w:fill="FFFFFF"/>
          <w14:textFill>
            <w14:solidFill>
              <w14:schemeClr w14:val="tx1"/>
            </w14:solidFill>
          </w14:textFill>
        </w:rPr>
        <w:t>2．公平安全办赛。</w:t>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各级组织领导机构要切实履行主体责任，将公平公正作为办赛的“生命线”，加强竞赛各环节的监督管理，确保公平办赛。突出安全导向，赛前要合理制定医疗卫生及应急消防等工作预案，比赛过程中要加强安全操作提示，引导参赛选手提高安全意识，确保安全竞赛。</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r>
        <w:rPr>
          <w:rStyle w:val="12"/>
          <w:rFonts w:hint="eastAsia" w:ascii="方正楷体简体" w:hAnsi="Times New Roman" w:eastAsia="方正楷体简体" w:cs="方正楷体简体"/>
          <w:b w:val="0"/>
          <w:snapToGrid w:val="0"/>
          <w:color w:val="000000" w:themeColor="text1"/>
          <w:sz w:val="32"/>
          <w:szCs w:val="32"/>
          <w:shd w:val="clear" w:color="auto" w:fill="FFFFFF"/>
          <w14:textFill>
            <w14:solidFill>
              <w14:schemeClr w14:val="tx1"/>
            </w14:solidFill>
          </w14:textFill>
        </w:rPr>
        <w:t>3．强化办赛实效。</w:t>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各级组织领导机构要树牢从比赛向服务转变的理念，将举办竞赛与思想引领、岗位建功、人才培养等工作有机融合，联合有关部门在平台搭建、资源倾斜、荣誉奖励、物质激励等方面为青年提供支持，积极争取人才等级认定等社会激励政策，提高参赛选手的获得感。</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Style w:val="12"/>
          <w:rFonts w:hint="eastAsia" w:ascii="方正楷体简体" w:hAnsi="Times New Roman" w:eastAsia="方正楷体简体" w:cs="方正楷体简体"/>
          <w:b w:val="0"/>
          <w:snapToGrid w:val="0"/>
          <w:color w:val="000000" w:themeColor="text1"/>
          <w:sz w:val="32"/>
          <w:szCs w:val="32"/>
          <w:shd w:val="clear" w:color="auto" w:fill="FFFFFF"/>
          <w14:textFill>
            <w14:solidFill>
              <w14:schemeClr w14:val="tx1"/>
            </w14:solidFill>
          </w14:textFill>
        </w:rPr>
        <w:t>4．营造良好氛围。</w:t>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各级组织领导机构要充分利用团属媒体和各行业媒体，全方位宣传技能竞赛在促进青年技能人才培养、选拔和激励方面的重要作用，广泛选树青年技能人才和创新型青年人才典型，为大赛营造良好氛围。全区各级团组织要结合世界青年技能日等节点，积极开展青年技能人才、青年岗位能手交流分享活动，各盟市级团组织全年组织交流分享活动不少于3场次。</w:t>
      </w:r>
    </w:p>
    <w:p>
      <w:pPr>
        <w:pStyle w:val="9"/>
        <w:shd w:val="clear" w:color="auto" w:fill="FFFFFF"/>
        <w:overflowPunct w:val="0"/>
        <w:spacing w:beforeAutospacing="0" w:afterAutospacing="0" w:line="600" w:lineRule="exact"/>
        <w:ind w:firstLine="640" w:firstLineChars="200"/>
        <w:jc w:val="both"/>
        <w:rPr>
          <w:rFonts w:ascii="方正黑体简体" w:hAnsi="Times New Roman" w:eastAsia="方正黑体简体" w:cs="方正黑体简体"/>
          <w:snapToGrid w:val="0"/>
          <w:color w:val="000000" w:themeColor="text1"/>
          <w:sz w:val="32"/>
          <w:szCs w:val="32"/>
          <w14:textFill>
            <w14:solidFill>
              <w14:schemeClr w14:val="tx1"/>
            </w14:solidFill>
          </w14:textFill>
        </w:rPr>
      </w:pPr>
      <w:r>
        <w:rPr>
          <w:rFonts w:hint="eastAsia" w:ascii="方正黑体简体" w:hAnsi="Times New Roman" w:eastAsia="方正黑体简体" w:cs="方正仿宋简体"/>
          <w:snapToGrid w:val="0"/>
          <w:color w:val="000000" w:themeColor="text1"/>
          <w:sz w:val="32"/>
          <w:szCs w:val="32"/>
          <w:shd w:val="clear" w:color="auto" w:fill="FFFFFF"/>
          <w14:textFill>
            <w14:solidFill>
              <w14:schemeClr w14:val="tx1"/>
            </w14:solidFill>
          </w14:textFill>
        </w:rPr>
        <w:t>四、</w:t>
      </w:r>
      <w:r>
        <w:rPr>
          <w:rFonts w:hint="eastAsia" w:ascii="方正黑体简体" w:hAnsi="Times New Roman" w:eastAsia="方正黑体简体" w:cs="方正黑体简体"/>
          <w:snapToGrid w:val="0"/>
          <w:color w:val="000000" w:themeColor="text1"/>
          <w:sz w:val="32"/>
          <w:szCs w:val="32"/>
          <w14:textFill>
            <w14:solidFill>
              <w14:schemeClr w14:val="tx1"/>
            </w14:solidFill>
          </w14:textFill>
        </w:rPr>
        <w:t>其他事宜</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14:textFill>
            <w14:solidFill>
              <w14:schemeClr w14:val="tx1"/>
            </w14:solidFill>
          </w14:textFill>
        </w:rPr>
        <w:t>1．各参赛单位</w:t>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请于9月25日前将初赛情况统计表（附件3）电子版及盖章扫描件报</w:t>
      </w:r>
      <w:r>
        <w:rPr>
          <w:rFonts w:hint="eastAsia" w:ascii="Times New Roman" w:hAnsi="Times New Roman" w:eastAsia="方正仿宋简体" w:cs="方正仿宋简体"/>
          <w:snapToGrid w:val="0"/>
          <w:color w:val="000000" w:themeColor="text1"/>
          <w:sz w:val="32"/>
          <w:szCs w:val="32"/>
          <w14:textFill>
            <w14:solidFill>
              <w14:schemeClr w14:val="tx1"/>
            </w14:solidFill>
          </w14:textFill>
        </w:rPr>
        <w:t>自治区团委青年发展部。</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14:textFill>
            <w14:solidFill>
              <w14:schemeClr w14:val="tx1"/>
            </w14:solidFill>
          </w14:textFill>
        </w:rPr>
        <w:t>2．各承办单位请于9月25日前将相关比赛的简报、新闻稿、图片、视频等报自治区团委青年发展部。</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14:textFill>
            <w14:solidFill>
              <w14:schemeClr w14:val="tx1"/>
            </w14:solidFill>
          </w14:textFill>
        </w:rPr>
        <w:t>3．报名参赛。各比赛项目具体时间、地点、参赛选手报名需提供的资料等相关事宜，由大赛组委会及承办单位确定，另行通知。</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（1）电工、机床装调维修工。</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人：远蓬</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联系方式：（0472）3384193</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箱：bfzgtw@163.com</w:t>
      </w:r>
    </w:p>
    <w:p>
      <w:pPr>
        <w:pStyle w:val="9"/>
        <w:shd w:val="clear" w:color="auto" w:fill="FFFFFF"/>
        <w:overflowPunct w:val="0"/>
        <w:spacing w:beforeAutospacing="0" w:afterAutospacing="0" w:line="600" w:lineRule="exact"/>
        <w:ind w:left="2070" w:leftChars="300" w:hanging="1440" w:hangingChars="45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通讯地址：内蒙古包头市青山区厂前路内蒙古北方重工业集团有限公司</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编：014030</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（2）</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钳工</w:t>
      </w: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人：乌云其其格</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联系方式：15661368324</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箱：yjctw@126.com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通讯地址：内蒙古包头市青山区兵工路2号信箱</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编：014032</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（3）</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信息通信网络线务员（5G网络建设方向）</w:t>
      </w: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人：丛志茹</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联系方式：13354711146</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箱：105449779@qq.com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通讯地址：呼和浩特市赛罕区苏尔干街8号内蒙古电子信</w:t>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息职业技术学院</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编：010070</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（4）</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物联网安装调试员</w:t>
      </w: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人：苏波宁</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联系方式：18048292121</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箱：55440164@qq.com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通讯地址：呼和浩特市赛罕区苏尔干街8号内蒙古电子信</w:t>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息职业技术学院</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编：010070</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（5）巡检</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无人机驾驶员</w:t>
      </w: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人：郝霞</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联系方式：（0473）8992424</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箱：qinggongbu0473@126.com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通讯地址：乌海市党政行政中心A座540室</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编：016000</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（6）</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高压试验工、电力通信传输工、业扩报装员（智能办电）、电力网络安全员、电力应急技术员、配电运检工、电力负荷控制员、农网配电工</w:t>
      </w: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人：陈路</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联系方式：（0471）6222396</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箱：nmgdltw@126.com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pacing w:val="-10"/>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通讯地址：呼</w:t>
      </w:r>
      <w:r>
        <w:rPr>
          <w:rFonts w:hint="eastAsia" w:ascii="Times New Roman" w:hAnsi="Times New Roman" w:eastAsia="方正仿宋简体" w:cs="方正仿宋简体"/>
          <w:snapToGrid w:val="0"/>
          <w:color w:val="000000" w:themeColor="text1"/>
          <w:spacing w:val="-10"/>
          <w:sz w:val="32"/>
          <w:szCs w:val="32"/>
          <w:shd w:val="clear" w:color="auto" w:fill="FFFFFF"/>
          <w14:textFill>
            <w14:solidFill>
              <w14:schemeClr w14:val="tx1"/>
            </w14:solidFill>
          </w14:textFill>
        </w:rPr>
        <w:t>和浩特市赛罕区前达门路9号内蒙古电力集团</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编：010010</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（7）</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电力机车司机（副司机）、内燃机车司机（副司机）、铁路客运员、铁路运输调度（列车调度员）</w:t>
      </w: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人：张宇</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联系方式：（0471）2242849</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箱：1138757495@qq.com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通讯地址：内蒙古自治区呼和浩特市新城区锡林北路30</w:t>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ab/>
      </w: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号呼和浩特铁路局</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编：010050</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（8）</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数控铣工。</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人：曹霞</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联系方式：（0471）5239302</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箱：liuyuantw@126.com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通讯地址：内蒙古呼和浩特新城区新华东街65号</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编：010010</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（9）</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加油站操作员、车用加气站操作员</w:t>
      </w: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人：王超</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联系方式：（0471）6490669</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箱：5489129@qq.com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通讯地址：内蒙古呼和浩特市新城区成吉思汗大街东段</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编：010015</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（10）</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稀土电解工、稀土熔炼工、消防员、煤焦车司机、高炉炼铁工、电机嵌线工、轧钢工（热轧）。</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人：高文菲</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联系方式：（0472）2669360</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箱：baogangtuanwei@sina.com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通讯地址：内蒙古包头市昆区河西工业区包钢信息大楼</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编：014010</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（11）</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森林抚育工。</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人：高子涵</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联系方式：（0470）7425675</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箱：lgjtwzxb@163.com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通讯地址：内蒙古呼伦贝尔市牙克石市兴安中街96号</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编：022150</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（12）</w:t>
      </w:r>
      <w:r>
        <w:rPr>
          <w:rFonts w:hint="eastAsia" w:ascii="Times New Roman" w:hAnsi="Times New Roman" w:eastAsia="方正仿宋简体" w:cs="方正仿宋简体"/>
          <w:b/>
          <w:snapToGrid w:val="0"/>
          <w:color w:val="000000" w:themeColor="text1"/>
          <w:sz w:val="32"/>
          <w:szCs w:val="32"/>
          <w14:textFill>
            <w14:solidFill>
              <w14:schemeClr w14:val="tx1"/>
            </w14:solidFill>
          </w14:textFill>
        </w:rPr>
        <w:t>通信网络管理员。</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人：苏泰</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联系方式：15149313432</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箱：bbjtghst@163.com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通讯地址：内蒙古包头市青山区兵工路9号车辆大厦</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邮    编：014000</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（13）自治区团委青年发展部</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人：刘明伟</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联系方式：（0471）5966124</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电子邮箱：nmgtwzsqy@126.com</w:t>
      </w:r>
    </w:p>
    <w:p>
      <w:pPr>
        <w:pStyle w:val="9"/>
        <w:shd w:val="clear" w:color="auto" w:fill="FFFFFF"/>
        <w:overflowPunct w:val="0"/>
        <w:spacing w:beforeAutospacing="0" w:afterAutospacing="0" w:line="600" w:lineRule="exact"/>
        <w:ind w:firstLine="643" w:firstLineChars="200"/>
        <w:jc w:val="both"/>
        <w:rPr>
          <w:rFonts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b/>
          <w:snapToGrid w:val="0"/>
          <w:color w:val="000000" w:themeColor="text1"/>
          <w:sz w:val="32"/>
          <w:szCs w:val="32"/>
          <w:shd w:val="clear" w:color="auto" w:fill="FFFFFF"/>
          <w14:textFill>
            <w14:solidFill>
              <w14:schemeClr w14:val="tx1"/>
            </w14:solidFill>
          </w14:textFill>
        </w:rPr>
        <w:t>（14）自治区人力资源和社会保障厅职业能力建设处</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 系 人：庞东煜</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联系方式：（0471）6944622</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电子邮箱：nmgrstzjc@163.com</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附件：</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1．2024年“振兴杯”全区青年职业技能大赛（职工组）组委会成员名单</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2．2024年“振兴杯”全区青年职业技能大赛（职工组）专项赛（创新创效竞赛）项目申报要求</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bookmarkStart w:id="0" w:name="_GoBack"/>
      <w:bookmarkEnd w:id="0"/>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3．2024年“振兴杯”全区青年职业技能大赛（职工组）初赛情况统计表</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p>
    <w:p>
      <w:pPr>
        <w:pStyle w:val="3"/>
        <w:overflowPunct w:val="0"/>
        <w:adjustRightInd w:val="0"/>
        <w:snapToGrid w:val="0"/>
        <w:spacing w:before="0" w:line="600" w:lineRule="exact"/>
        <w:ind w:left="0" w:firstLine="640" w:firstLineChars="200"/>
        <w:jc w:val="both"/>
        <w:rPr>
          <w:rFonts w:ascii="Times New Roman" w:hAnsi="Times New Roman" w:eastAsia="方正仿宋简体"/>
          <w:snapToGrid w:val="0"/>
          <w:color w:val="000000"/>
          <w:lang w:val="en-US"/>
        </w:rPr>
      </w:pPr>
    </w:p>
    <w:p>
      <w:pPr>
        <w:pStyle w:val="3"/>
        <w:overflowPunct w:val="0"/>
        <w:adjustRightInd w:val="0"/>
        <w:snapToGrid w:val="0"/>
        <w:spacing w:before="0" w:line="600" w:lineRule="exact"/>
        <w:ind w:left="0" w:firstLine="640" w:firstLineChars="200"/>
        <w:jc w:val="both"/>
        <w:rPr>
          <w:rFonts w:ascii="Times New Roman" w:hAnsi="Times New Roman" w:eastAsia="方正仿宋简体"/>
          <w:snapToGrid w:val="0"/>
          <w:color w:val="000000"/>
          <w:lang w:val="en-US"/>
        </w:rPr>
      </w:pPr>
    </w:p>
    <w:p>
      <w:pPr>
        <w:overflowPunct w:val="0"/>
        <w:adjustRightInd w:val="0"/>
        <w:snapToGrid w:val="0"/>
        <w:spacing w:line="600" w:lineRule="exact"/>
        <w:ind w:firstLine="496" w:firstLineChars="200"/>
        <w:rPr>
          <w:rFonts w:ascii="Times New Roman" w:hAnsi="Times New Roman" w:eastAsia="方正仿宋简体" w:cs="方正仿宋简体"/>
          <w:snapToGrid w:val="0"/>
          <w:color w:val="000000"/>
          <w:spacing w:val="-20"/>
          <w:w w:val="90"/>
          <w:kern w:val="0"/>
          <w:sz w:val="32"/>
          <w:szCs w:val="32"/>
        </w:rPr>
      </w:pPr>
      <w:r>
        <w:rPr>
          <w:rFonts w:hint="eastAsia" w:ascii="Times New Roman" w:hAnsi="Times New Roman" w:eastAsia="方正仿宋简体" w:cs="方正仿宋简体"/>
          <w:snapToGrid w:val="0"/>
          <w:color w:val="000000"/>
          <w:spacing w:val="-20"/>
          <w:w w:val="90"/>
          <w:kern w:val="0"/>
          <w:sz w:val="32"/>
          <w:szCs w:val="32"/>
        </w:rPr>
        <w:t xml:space="preserve">共青团内蒙古自治区委员会   </w:t>
      </w:r>
      <w:r>
        <w:rPr>
          <w:rFonts w:ascii="Times New Roman" w:hAnsi="Times New Roman" w:eastAsia="方正仿宋简体" w:cs="方正仿宋简体"/>
          <w:snapToGrid w:val="0"/>
          <w:color w:val="000000"/>
          <w:spacing w:val="-20"/>
          <w:w w:val="90"/>
          <w:kern w:val="0"/>
          <w:sz w:val="32"/>
          <w:szCs w:val="32"/>
        </w:rPr>
        <w:t xml:space="preserve">  </w:t>
      </w:r>
      <w:r>
        <w:rPr>
          <w:rFonts w:hint="eastAsia" w:ascii="Times New Roman" w:hAnsi="Times New Roman" w:eastAsia="方正仿宋简体" w:cs="方正仿宋简体"/>
          <w:snapToGrid w:val="0"/>
          <w:color w:val="000000"/>
          <w:spacing w:val="-20"/>
          <w:w w:val="90"/>
          <w:kern w:val="0"/>
          <w:sz w:val="32"/>
          <w:szCs w:val="32"/>
        </w:rPr>
        <w:t xml:space="preserve">   内蒙古自治区人力资源和社会保障厅</w:t>
      </w:r>
    </w:p>
    <w:p>
      <w:pPr>
        <w:overflowPunct w:val="0"/>
        <w:adjustRightInd w:val="0"/>
        <w:snapToGrid w:val="0"/>
        <w:spacing w:line="600" w:lineRule="exact"/>
        <w:ind w:firstLine="5280" w:firstLineChars="1650"/>
        <w:rPr>
          <w:rFonts w:ascii="Times New Roman" w:hAnsi="Times New Roman" w:eastAsia="方正仿宋简体" w:cs="方正黑体_GBK"/>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2024年7月29日</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14:textFill>
            <w14:solidFill>
              <w14:schemeClr w14:val="tx1"/>
            </w14:solidFill>
          </w14:textFill>
        </w:rPr>
      </w:pP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（此件主动公开）</w:t>
      </w:r>
    </w:p>
    <w:p>
      <w:pPr>
        <w:pStyle w:val="9"/>
        <w:shd w:val="clear" w:color="auto" w:fill="FFFFFF"/>
        <w:overflowPunct w:val="0"/>
        <w:spacing w:beforeAutospacing="0" w:afterAutospacing="0" w:line="600" w:lineRule="exact"/>
        <w:ind w:firstLine="640" w:firstLineChars="200"/>
        <w:jc w:val="both"/>
        <w:rPr>
          <w:rFonts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pPr>
      <w:r>
        <w:rPr>
          <w:rFonts w:hint="eastAsia" w:ascii="Times New Roman" w:hAnsi="Times New Roman" w:eastAsia="方正仿宋简体" w:cs="方正仿宋简体"/>
          <w:snapToGrid w:val="0"/>
          <w:color w:val="000000" w:themeColor="text1"/>
          <w:sz w:val="32"/>
          <w:szCs w:val="32"/>
          <w:shd w:val="clear" w:color="auto" w:fill="FFFFFF"/>
          <w14:textFill>
            <w14:solidFill>
              <w14:schemeClr w14:val="tx1"/>
            </w14:solidFill>
          </w14:textFill>
        </w:rPr>
        <w:t>（联系单位：自治区团委青年发展部，自治区人力资源和社会保障厅职业能力建设处）</w:t>
      </w:r>
    </w:p>
    <w:p>
      <w:pPr>
        <w:overflowPunct w:val="0"/>
      </w:pPr>
      <w:r>
        <w:rPr>
          <w:rFonts w:hint="eastAsia" w:ascii="方正仿宋简体" w:hAnsi="方正仿宋简体" w:eastAsia="方正仿宋简体" w:cs="方正仿宋简体"/>
          <w:snapToGrid w:val="0"/>
          <w:kern w:val="0"/>
          <w:sz w:val="32"/>
          <w:szCs w:val="32"/>
        </w:rPr>
        <w:br w:type="page"/>
      </w:r>
    </w:p>
    <w:p>
      <w:pPr>
        <w:overflowPunct w:val="0"/>
        <w:adjustRightInd w:val="0"/>
        <w:snapToGrid w:val="0"/>
        <w:spacing w:line="600" w:lineRule="exact"/>
        <w:rPr>
          <w:rFonts w:ascii="方正黑体简体" w:hAnsi="Times New Roman" w:eastAsia="方正黑体简体" w:cs="方正黑体_GBK"/>
          <w:snapToGrid w:val="0"/>
          <w:color w:val="000000"/>
          <w:kern w:val="0"/>
          <w:sz w:val="32"/>
          <w:szCs w:val="32"/>
        </w:rPr>
      </w:pPr>
      <w:r>
        <w:rPr>
          <w:rFonts w:hint="eastAsia" w:ascii="方正黑体简体" w:hAnsi="Times New Roman" w:eastAsia="方正黑体简体" w:cs="方正黑体_GBK"/>
          <w:snapToGrid w:val="0"/>
          <w:color w:val="000000"/>
          <w:kern w:val="0"/>
          <w:sz w:val="32"/>
          <w:szCs w:val="32"/>
        </w:rPr>
        <w:t>附件1</w:t>
      </w:r>
    </w:p>
    <w:p>
      <w:pPr>
        <w:pStyle w:val="3"/>
        <w:overflowPunct w:val="0"/>
        <w:autoSpaceDE/>
        <w:autoSpaceDN/>
        <w:adjustRightInd w:val="0"/>
        <w:snapToGrid w:val="0"/>
        <w:spacing w:before="0" w:line="600" w:lineRule="exact"/>
        <w:ind w:left="0" w:firstLine="640" w:firstLineChars="200"/>
        <w:jc w:val="both"/>
        <w:rPr>
          <w:rFonts w:ascii="Times New Roman" w:hAnsi="Times New Roman" w:eastAsia="方正仿宋简体"/>
          <w:snapToGrid w:val="0"/>
          <w:color w:val="000000"/>
          <w:lang w:val="en-US"/>
        </w:rPr>
      </w:pPr>
    </w:p>
    <w:p>
      <w:pPr>
        <w:overflowPunct w:val="0"/>
        <w:adjustRightInd w:val="0"/>
        <w:snapToGrid w:val="0"/>
        <w:spacing w:line="600" w:lineRule="exact"/>
        <w:jc w:val="center"/>
        <w:rPr>
          <w:rFonts w:ascii="方正小标宋简体" w:hAnsi="Times New Roman" w:eastAsia="方正小标宋简体" w:cs="方正小标宋简体"/>
          <w:snapToGrid w:val="0"/>
          <w:color w:val="000000"/>
          <w:kern w:val="0"/>
          <w:sz w:val="44"/>
          <w:szCs w:val="44"/>
        </w:rPr>
      </w:pPr>
      <w:r>
        <w:rPr>
          <w:rFonts w:hint="eastAsia" w:ascii="方正小标宋简体" w:hAnsi="Times New Roman" w:eastAsia="方正小标宋简体" w:cs="方正小标宋简体"/>
          <w:snapToGrid w:val="0"/>
          <w:color w:val="000000"/>
          <w:kern w:val="0"/>
          <w:sz w:val="44"/>
          <w:szCs w:val="44"/>
        </w:rPr>
        <w:t>2024年“振兴杯”全区青年职业技能大赛</w:t>
      </w:r>
    </w:p>
    <w:p>
      <w:pPr>
        <w:overflowPunct w:val="0"/>
        <w:adjustRightInd w:val="0"/>
        <w:snapToGrid w:val="0"/>
        <w:spacing w:line="600" w:lineRule="exact"/>
        <w:jc w:val="center"/>
        <w:rPr>
          <w:rFonts w:ascii="方正小标宋简体" w:hAnsi="Times New Roman" w:eastAsia="方正小标宋简体" w:cs="方正仿宋简体"/>
          <w:snapToGrid w:val="0"/>
          <w:color w:val="000000"/>
          <w:kern w:val="0"/>
          <w:sz w:val="44"/>
          <w:szCs w:val="44"/>
        </w:rPr>
      </w:pPr>
      <w:r>
        <w:rPr>
          <w:rFonts w:hint="eastAsia" w:ascii="方正小标宋简体" w:hAnsi="Times New Roman" w:eastAsia="方正小标宋简体" w:cs="方正小标宋简体"/>
          <w:snapToGrid w:val="0"/>
          <w:color w:val="000000"/>
          <w:kern w:val="0"/>
          <w:sz w:val="44"/>
          <w:szCs w:val="44"/>
        </w:rPr>
        <w:t>（职工组）组委会成员名单</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p>
    <w:p>
      <w:pPr>
        <w:overflowPunct w:val="0"/>
        <w:adjustRightInd w:val="0"/>
        <w:snapToGrid w:val="0"/>
        <w:spacing w:line="600" w:lineRule="exact"/>
        <w:rPr>
          <w:rFonts w:ascii="方正黑体简体" w:hAnsi="Times New Roman" w:eastAsia="方正黑体简体" w:cs="方正仿宋简体"/>
          <w:snapToGrid w:val="0"/>
          <w:color w:val="000000"/>
          <w:kern w:val="0"/>
          <w:sz w:val="32"/>
          <w:szCs w:val="32"/>
        </w:rPr>
      </w:pPr>
      <w:r>
        <w:rPr>
          <w:rFonts w:hint="eastAsia" w:ascii="方正黑体简体" w:hAnsi="Times New Roman" w:eastAsia="方正黑体简体" w:cs="方正仿宋简体"/>
          <w:bCs/>
          <w:snapToGrid w:val="0"/>
          <w:color w:val="000000"/>
          <w:kern w:val="0"/>
          <w:sz w:val="32"/>
          <w:szCs w:val="32"/>
        </w:rPr>
        <w:t>主  任：</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刘建辉　自治区团委副书记</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王　林　自治区人力资源和社会保障厅副厅长</w:t>
      </w:r>
    </w:p>
    <w:p>
      <w:pPr>
        <w:overflowPunct w:val="0"/>
        <w:adjustRightInd w:val="0"/>
        <w:snapToGrid w:val="0"/>
        <w:spacing w:line="600" w:lineRule="exact"/>
        <w:rPr>
          <w:rFonts w:ascii="方正黑体简体" w:hAnsi="Times New Roman" w:eastAsia="方正黑体简体" w:cs="方正仿宋简体"/>
          <w:bCs/>
          <w:snapToGrid w:val="0"/>
          <w:color w:val="000000"/>
          <w:kern w:val="0"/>
          <w:sz w:val="32"/>
          <w:szCs w:val="32"/>
        </w:rPr>
      </w:pPr>
      <w:r>
        <w:rPr>
          <w:rFonts w:hint="eastAsia" w:ascii="方正黑体简体" w:hAnsi="Times New Roman" w:eastAsia="方正黑体简体" w:cs="方正仿宋简体"/>
          <w:bCs/>
          <w:snapToGrid w:val="0"/>
          <w:color w:val="000000"/>
          <w:kern w:val="0"/>
          <w:sz w:val="32"/>
          <w:szCs w:val="32"/>
        </w:rPr>
        <w:t>委  员：</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spacing w:val="-14"/>
          <w:kern w:val="0"/>
          <w:sz w:val="32"/>
          <w:szCs w:val="32"/>
        </w:rPr>
      </w:pPr>
      <w:r>
        <w:rPr>
          <w:rFonts w:hint="eastAsia" w:ascii="Times New Roman" w:hAnsi="Times New Roman" w:eastAsia="方正仿宋简体" w:cs="方正仿宋简体"/>
          <w:snapToGrid w:val="0"/>
          <w:color w:val="000000"/>
          <w:kern w:val="0"/>
          <w:sz w:val="32"/>
          <w:szCs w:val="32"/>
        </w:rPr>
        <w:t>张晓东　</w:t>
      </w:r>
      <w:r>
        <w:rPr>
          <w:rFonts w:hint="eastAsia" w:ascii="Times New Roman" w:hAnsi="Times New Roman" w:eastAsia="方正仿宋简体" w:cs="方正仿宋简体"/>
          <w:snapToGrid w:val="0"/>
          <w:color w:val="000000"/>
          <w:spacing w:val="-14"/>
          <w:kern w:val="0"/>
          <w:sz w:val="32"/>
          <w:szCs w:val="32"/>
        </w:rPr>
        <w:t>自治区人力资源和社会保障厅职业能力建设处处长</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王　卿　自治区就业服务中心副主任</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刘智博　自治区团委青年发展部部长</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蒋　毅　乌海市团委书记</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spacing w:val="-20"/>
          <w:kern w:val="0"/>
          <w:sz w:val="32"/>
          <w:szCs w:val="32"/>
        </w:rPr>
      </w:pPr>
      <w:r>
        <w:rPr>
          <w:rFonts w:hint="eastAsia" w:ascii="Times New Roman" w:hAnsi="Times New Roman" w:eastAsia="方正仿宋简体" w:cs="方正仿宋简体"/>
          <w:snapToGrid w:val="0"/>
          <w:color w:val="000000"/>
          <w:kern w:val="0"/>
          <w:sz w:val="32"/>
          <w:szCs w:val="32"/>
        </w:rPr>
        <w:t>刘占伟　</w:t>
      </w:r>
      <w:r>
        <w:rPr>
          <w:rFonts w:hint="eastAsia" w:ascii="Times New Roman" w:hAnsi="Times New Roman" w:eastAsia="方正仿宋简体" w:cs="方正仿宋简体"/>
          <w:snapToGrid w:val="0"/>
          <w:color w:val="000000"/>
          <w:spacing w:val="-20"/>
          <w:kern w:val="0"/>
          <w:sz w:val="32"/>
          <w:szCs w:val="32"/>
        </w:rPr>
        <w:t>内蒙古电子信息职业技术学院电子与自动化学院院长</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张　宁　内蒙古北方重工业集团有限公司团委书记</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spacing w:val="-6"/>
          <w:kern w:val="0"/>
          <w:sz w:val="32"/>
          <w:szCs w:val="32"/>
        </w:rPr>
      </w:pPr>
      <w:r>
        <w:rPr>
          <w:rFonts w:hint="eastAsia" w:ascii="Times New Roman" w:hAnsi="Times New Roman" w:eastAsia="方正仿宋简体" w:cs="方正仿宋简体"/>
          <w:snapToGrid w:val="0"/>
          <w:color w:val="000000"/>
          <w:kern w:val="0"/>
          <w:sz w:val="32"/>
          <w:szCs w:val="32"/>
        </w:rPr>
        <w:t>董　通　</w:t>
      </w:r>
      <w:r>
        <w:rPr>
          <w:rFonts w:hint="eastAsia" w:ascii="Times New Roman" w:hAnsi="Times New Roman" w:eastAsia="方正仿宋简体" w:cs="方正仿宋简体"/>
          <w:snapToGrid w:val="0"/>
          <w:color w:val="000000"/>
          <w:spacing w:val="-6"/>
          <w:kern w:val="0"/>
          <w:sz w:val="32"/>
          <w:szCs w:val="32"/>
        </w:rPr>
        <w:t>内蒙古第一机械集团有限公司党委工作部副部长</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路　军　内蒙古电力（集团）有限责任公司团委书记</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刘　伟　中国铁路呼和浩特局集团有限公司团委书记</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刘　婷　中国航天科工集团第六研究院团委书记</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spacing w:val="-32"/>
          <w:kern w:val="0"/>
          <w:sz w:val="32"/>
          <w:szCs w:val="32"/>
        </w:rPr>
      </w:pPr>
      <w:r>
        <w:rPr>
          <w:rFonts w:hint="eastAsia" w:ascii="Times New Roman" w:hAnsi="Times New Roman" w:eastAsia="方正仿宋简体" w:cs="方正仿宋简体"/>
          <w:snapToGrid w:val="0"/>
          <w:color w:val="000000"/>
          <w:kern w:val="0"/>
          <w:sz w:val="32"/>
          <w:szCs w:val="32"/>
        </w:rPr>
        <w:t>阮　征　</w:t>
      </w:r>
      <w:r>
        <w:rPr>
          <w:rFonts w:hint="eastAsia" w:ascii="Times New Roman" w:hAnsi="Times New Roman" w:eastAsia="方正仿宋简体" w:cs="方正仿宋简体"/>
          <w:snapToGrid w:val="0"/>
          <w:color w:val="000000"/>
          <w:spacing w:val="-32"/>
          <w:kern w:val="0"/>
          <w:sz w:val="32"/>
          <w:szCs w:val="32"/>
        </w:rPr>
        <w:t>中国石油天然气股份有限公司内蒙古销售分公司团委书记</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李　麟　包头钢铁（集团）有限责任公司团委副书记</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spacing w:val="-14"/>
          <w:kern w:val="0"/>
          <w:sz w:val="32"/>
          <w:szCs w:val="32"/>
        </w:rPr>
      </w:pPr>
      <w:r>
        <w:rPr>
          <w:rFonts w:hint="eastAsia" w:ascii="Times New Roman" w:hAnsi="Times New Roman" w:eastAsia="方正仿宋简体" w:cs="方正仿宋简体"/>
          <w:snapToGrid w:val="0"/>
          <w:color w:val="000000"/>
          <w:kern w:val="0"/>
          <w:sz w:val="32"/>
          <w:szCs w:val="32"/>
        </w:rPr>
        <w:t>王　梓　</w:t>
      </w:r>
      <w:r>
        <w:rPr>
          <w:rFonts w:hint="eastAsia" w:ascii="Times New Roman" w:hAnsi="Times New Roman" w:eastAsia="方正仿宋简体" w:cs="方正仿宋简体"/>
          <w:snapToGrid w:val="0"/>
          <w:color w:val="000000"/>
          <w:spacing w:val="-14"/>
          <w:kern w:val="0"/>
          <w:sz w:val="32"/>
          <w:szCs w:val="32"/>
        </w:rPr>
        <w:t>中国内蒙古森林工业集团有限责任公司团委副书记</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高　敏　北奔重型汽车集团有限公司团委书记</w:t>
      </w:r>
    </w:p>
    <w:p>
      <w:pPr>
        <w:overflowPunct w:val="0"/>
        <w:adjustRightInd w:val="0"/>
        <w:snapToGrid w:val="0"/>
        <w:spacing w:line="600" w:lineRule="exact"/>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李欣阳　中核北方核燃料元件有限公司团委副书记</w:t>
      </w:r>
    </w:p>
    <w:p>
      <w:pPr>
        <w:overflowPunct w:val="0"/>
        <w:ind w:firstLine="640" w:firstLineChars="200"/>
        <w:rPr>
          <w:rFonts w:ascii="Times New Roman" w:hAnsi="Times New Roman" w:eastAsia="方正仿宋简体" w:cs="方正仿宋简体"/>
          <w:snapToGrid w:val="0"/>
          <w:color w:val="000000"/>
          <w:kern w:val="0"/>
          <w:sz w:val="32"/>
          <w:szCs w:val="32"/>
        </w:rPr>
      </w:pPr>
      <w:r>
        <w:rPr>
          <w:rFonts w:hint="eastAsia" w:ascii="Times New Roman" w:hAnsi="Times New Roman" w:eastAsia="方正仿宋简体" w:cs="方正仿宋简体"/>
          <w:snapToGrid w:val="0"/>
          <w:color w:val="000000"/>
          <w:kern w:val="0"/>
          <w:sz w:val="32"/>
          <w:szCs w:val="32"/>
        </w:rPr>
        <w:t>组委会下设办公室，设在自治区团委青年发展部，负责日常工作。</w:t>
      </w:r>
    </w:p>
    <w:p>
      <w:pPr>
        <w:pStyle w:val="2"/>
        <w:ind w:firstLine="640"/>
        <w:rPr>
          <w:snapToGrid w:val="0"/>
        </w:rPr>
      </w:pPr>
      <w:r>
        <w:rPr>
          <w:snapToGrid w:val="0"/>
        </w:rPr>
        <w:br w:type="page"/>
      </w:r>
    </w:p>
    <w:p>
      <w:pPr>
        <w:overflowPunct w:val="0"/>
        <w:adjustRightInd w:val="0"/>
        <w:snapToGrid w:val="0"/>
        <w:spacing w:line="600" w:lineRule="exact"/>
        <w:rPr>
          <w:rFonts w:ascii="方正黑体简体" w:hAnsi="Times New Roman" w:eastAsia="方正黑体简体" w:cs="方正黑体_GBK"/>
          <w:snapToGrid w:val="0"/>
          <w:color w:val="000000"/>
          <w:kern w:val="0"/>
          <w:sz w:val="32"/>
          <w:szCs w:val="32"/>
        </w:rPr>
      </w:pPr>
      <w:r>
        <w:rPr>
          <w:rFonts w:hint="eastAsia" w:ascii="方正黑体简体" w:hAnsi="Times New Roman" w:eastAsia="方正黑体简体" w:cs="方正黑体_GBK"/>
          <w:snapToGrid w:val="0"/>
          <w:color w:val="000000"/>
          <w:kern w:val="0"/>
          <w:sz w:val="32"/>
          <w:szCs w:val="32"/>
        </w:rPr>
        <w:t>附件2</w:t>
      </w:r>
    </w:p>
    <w:p>
      <w:pPr>
        <w:overflowPunct w:val="0"/>
        <w:spacing w:line="600" w:lineRule="exact"/>
        <w:jc w:val="center"/>
        <w:rPr>
          <w:rFonts w:ascii="方正小标宋简体" w:hAnsi="方正小标宋简体" w:eastAsia="方正小标宋简体" w:cs="方正小标宋简体"/>
          <w:snapToGrid w:val="0"/>
          <w:kern w:val="0"/>
          <w:sz w:val="44"/>
          <w:szCs w:val="44"/>
        </w:rPr>
      </w:pPr>
    </w:p>
    <w:p>
      <w:pPr>
        <w:pStyle w:val="9"/>
        <w:shd w:val="clear" w:color="auto" w:fill="FFFFFF"/>
        <w:overflowPunct w:val="0"/>
        <w:spacing w:beforeAutospacing="0" w:afterAutospacing="0" w:line="600" w:lineRule="exact"/>
        <w:jc w:val="center"/>
        <w:rPr>
          <w:rFonts w:ascii="方正小标宋简体" w:hAnsi="方正小标宋简体" w:eastAsia="方正小标宋简体" w:cs="方正小标宋简体"/>
          <w:snapToGrid w:val="0"/>
          <w:sz w:val="44"/>
          <w:szCs w:val="44"/>
          <w:shd w:val="clear" w:color="auto" w:fill="FFFFFF"/>
        </w:rPr>
      </w:pPr>
      <w:r>
        <w:rPr>
          <w:rFonts w:hint="eastAsia" w:ascii="方正小标宋简体" w:hAnsi="方正小标宋简体" w:eastAsia="方正小标宋简体" w:cs="方正小标宋简体"/>
          <w:snapToGrid w:val="0"/>
          <w:sz w:val="44"/>
          <w:szCs w:val="44"/>
          <w:shd w:val="clear" w:color="auto" w:fill="FFFFFF"/>
        </w:rPr>
        <w:t>2024年“振兴杯”全区青年职业技能大赛</w:t>
      </w:r>
    </w:p>
    <w:p>
      <w:pPr>
        <w:pStyle w:val="9"/>
        <w:shd w:val="clear" w:color="auto" w:fill="FFFFFF"/>
        <w:overflowPunct w:val="0"/>
        <w:spacing w:beforeAutospacing="0" w:afterAutospacing="0" w:line="600" w:lineRule="exact"/>
        <w:jc w:val="center"/>
        <w:rPr>
          <w:rFonts w:ascii="方正小标宋简体" w:hAnsi="方正小标宋简体" w:eastAsia="方正小标宋简体" w:cs="方正小标宋简体"/>
          <w:snapToGrid w:val="0"/>
          <w:sz w:val="44"/>
          <w:szCs w:val="44"/>
        </w:rPr>
      </w:pPr>
      <w:r>
        <w:rPr>
          <w:rFonts w:hint="eastAsia" w:ascii="方正小标宋简体" w:hAnsi="方正小标宋简体" w:eastAsia="方正小标宋简体" w:cs="方正小标宋简体"/>
          <w:snapToGrid w:val="0"/>
          <w:sz w:val="44"/>
          <w:szCs w:val="44"/>
        </w:rPr>
        <w:t>（职工组）专项赛（创新创效竞赛）</w:t>
      </w:r>
    </w:p>
    <w:p>
      <w:pPr>
        <w:pStyle w:val="9"/>
        <w:shd w:val="clear" w:color="auto" w:fill="FFFFFF"/>
        <w:overflowPunct w:val="0"/>
        <w:spacing w:beforeAutospacing="0" w:afterAutospacing="0" w:line="600" w:lineRule="exact"/>
        <w:jc w:val="center"/>
        <w:rPr>
          <w:rFonts w:ascii="Arial"/>
          <w:snapToGrid w:val="0"/>
          <w:sz w:val="44"/>
          <w:szCs w:val="44"/>
        </w:rPr>
      </w:pPr>
      <w:r>
        <w:rPr>
          <w:rFonts w:hint="eastAsia" w:ascii="方正小标宋简体" w:hAnsi="方正小标宋简体" w:eastAsia="方正小标宋简体" w:cs="方正小标宋简体"/>
          <w:snapToGrid w:val="0"/>
          <w:sz w:val="44"/>
          <w:szCs w:val="44"/>
        </w:rPr>
        <w:t>项目申报要求</w:t>
      </w:r>
    </w:p>
    <w:p>
      <w:pPr>
        <w:pStyle w:val="3"/>
        <w:overflowPunct w:val="0"/>
        <w:autoSpaceDE/>
        <w:autoSpaceDN/>
        <w:spacing w:before="0" w:line="600" w:lineRule="exact"/>
        <w:ind w:left="0" w:firstLine="640" w:firstLineChars="200"/>
        <w:rPr>
          <w:rFonts w:ascii="方正仿宋简体" w:hAnsi="方正仿宋简体" w:eastAsia="方正仿宋简体" w:cs="方正仿宋简体"/>
          <w:snapToGrid w:val="0"/>
        </w:rPr>
      </w:pP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创新创效竞赛旨在完整准确全面贯彻新发展理念，在新时代新征程充分激发广大青年创造潜能、创新活力和创优精神，为加快培育和发展新质生产力、推动经济社会高质量发展贡献青春智慧和力量。</w:t>
      </w:r>
    </w:p>
    <w:p>
      <w:pPr>
        <w:pStyle w:val="3"/>
        <w:overflowPunct w:val="0"/>
        <w:autoSpaceDE/>
        <w:autoSpaceDN/>
        <w:adjustRightInd w:val="0"/>
        <w:snapToGrid w:val="0"/>
        <w:spacing w:before="0" w:line="600" w:lineRule="exact"/>
        <w:ind w:left="0" w:firstLine="640" w:firstLineChars="200"/>
        <w:rPr>
          <w:rFonts w:ascii="方正黑体简体" w:hAnsi="方正黑体简体" w:eastAsia="方正黑体简体" w:cs="方正黑体简体"/>
          <w:snapToGrid w:val="0"/>
        </w:rPr>
      </w:pPr>
      <w:r>
        <w:rPr>
          <w:rFonts w:hint="eastAsia" w:ascii="方正黑体简体" w:hAnsi="方正黑体简体" w:eastAsia="方正黑体简体" w:cs="方正黑体简体"/>
          <w:snapToGrid w:val="0"/>
        </w:rPr>
        <w:t>一、申报方向</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参赛项目设研发创新、技术革新、管理创新3个竞赛方向，各竞赛方向具体申报要求如下。</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1．研发创新项目主要面向青年科技人员，项目主要展示基础研究、应用研究、原型测试、产品研发等成果，重点考察参赛选手创造性运用科技知识、实质性改进技术和产品的能力。</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包括机械与控制类、信息技术类、生命科学类、能源化工类等4大类。机械与控制类包括机械、仪器仪表、交通、建筑等领域；信息技术类包括计算机、通讯、电子等领域；生命科学类包括生物、药学、医学、食品等领域；能源化工类包括能源、化工、生态、环保等领域。</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参赛项目材料应包含理论依据、关键技术及创意创新点、主要技术指标、测试数据、效果验证、效益发挥等内容。</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2．技术革新项目主要面向青年技能人员，项目主要展示生产过程中的工艺革新、质量效率提升、技术提档升级等，重点考察参赛选手的创新意识、创效能力。</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包括机械与控制类、信息技术类、生命科学类、能源化工类等4大类。机械与控制类包括机械、仪器仪表、交通、建筑等领域；信息技术类包括计算机、通讯、电子等领域；生命科学类包括生物、药学、医学、食品等领域；能源化工类包括能源、化工、生态、环保等领域。</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参赛项目材料应包含革新优化方案的设计思路、理论依据、实验数据、效果验证报告、操作流程、注意事项、潜在问题分析、效益分析等内容。</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3．管理创新项目主要面向青年管理人员，项目主要展示管理过程中的过程控制、制度完善、流程优化、项目管理等，重点考察参赛选手的系统思维、工程思维、管理水平。</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参赛项目包括财经商贸类、金融保险类、文化教育类、交通运输类、邮电通讯类、社会服务类等领域。项目及其展示可采用文本、图表、图片、视频等形式。</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参赛项目材料包含设计思路、过程优化、操作流程监视与测量、检验记录、效果验证报告、经济效益和职业素养提升评价分析报告、运行环境因素与风险管理方法、改进与完善机制等内容。</w:t>
      </w:r>
    </w:p>
    <w:p>
      <w:pPr>
        <w:pStyle w:val="3"/>
        <w:overflowPunct w:val="0"/>
        <w:autoSpaceDE/>
        <w:autoSpaceDN/>
        <w:adjustRightInd w:val="0"/>
        <w:snapToGrid w:val="0"/>
        <w:spacing w:before="0" w:line="600" w:lineRule="exact"/>
        <w:ind w:left="0" w:firstLine="640" w:firstLineChars="200"/>
        <w:rPr>
          <w:rFonts w:ascii="方正黑体简体" w:hAnsi="方正黑体简体" w:eastAsia="方正黑体简体" w:cs="方正黑体简体"/>
          <w:snapToGrid w:val="0"/>
        </w:rPr>
      </w:pPr>
      <w:r>
        <w:rPr>
          <w:rFonts w:hint="eastAsia" w:ascii="方正黑体简体" w:hAnsi="方正黑体简体" w:eastAsia="方正黑体简体" w:cs="方正黑体简体"/>
          <w:snapToGrid w:val="0"/>
        </w:rPr>
        <w:t>二、申报要求</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1．申报参赛的项目须为近两年内（2022年6月1日以后）完成的创新创效成果，分个人项目和集体项目。集体项目团队成员最多不超过6人，且均需符合参赛对象要求，申报时须指定1名项目主要负责人，并对项目成员进行排序。</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每人或每个项目团队限报1个项目。每个参赛项目只可选择一个竞赛方向参赛，不得兼报。每个参赛项目可配备1至2名导师。对于跨单位联合组队参赛的项目，须明确申报的主体单位。</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2．国际竞赛中获奖的项目、获国家级奖励的成果（含本竞赛主办单位参与举办的其他全国性竞赛的获奖项目）等不在申报范围之列。</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如项目是在其他已有项目基础上的进一步完善改进，须在项目申报书中加以说明。一旦发现且经核实存在舞弊、抄袭、作假等情况的项目，大赛组委会将取消选手的参赛资格和申报单位的评奖资格。</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3．对于经授权的发明创造或专利技术，在报名时需提交具有法律效力的发明创造或专利技术所有人的书面授权许可、项目鉴定证书、专利证书等。</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凡涉及参赛项目的相关资料，参赛选手须自行把握技术和商业内容的公开程度，如发生参赛者与其项目中经授权的发明创造或专利技术所有人之间的纠纷，与大赛组委会无关，由双方按法律程序解决。</w:t>
      </w:r>
    </w:p>
    <w:p>
      <w:pPr>
        <w:pStyle w:val="3"/>
        <w:overflowPunct w:val="0"/>
        <w:autoSpaceDE/>
        <w:autoSpaceDN/>
        <w:adjustRightInd w:val="0"/>
        <w:snapToGrid w:val="0"/>
        <w:spacing w:before="0" w:line="600" w:lineRule="exact"/>
        <w:ind w:left="0" w:firstLine="640" w:firstLineChars="200"/>
        <w:rPr>
          <w:rFonts w:ascii="方正仿宋简体" w:hAnsi="方正仿宋简体" w:eastAsia="方正仿宋简体" w:cs="方正仿宋简体"/>
          <w:snapToGrid w:val="0"/>
        </w:rPr>
      </w:pPr>
      <w:r>
        <w:rPr>
          <w:rFonts w:hint="eastAsia" w:ascii="方正仿宋简体" w:hAnsi="方正仿宋简体" w:eastAsia="方正仿宋简体" w:cs="方正仿宋简体"/>
          <w:snapToGrid w:val="0"/>
        </w:rPr>
        <w:t>4．参赛项目涉及下列内容时，必须由申报者提供有关部门的证明材料，否则不予评审。动植物新品种的发现或培育，须有省级以上农科部门或科研院所开具证明。对国家保护动植物的研究，须有省级以上林业部门开具证明，证明该项研究的过程中未产生对所研究的动植物繁衍、生长不利的影响。新药物的研究须有卫生行政部门授权机构的鉴定证明。医疗卫生研究须通过专家鉴定，可附有在公开发行的专业性杂志上发表过的文章。涉及燃气用具等与人民生命财产安全有关用具的研究，须有国家相应行政部门授权机构的认定证明。</w:t>
      </w:r>
    </w:p>
    <w:p>
      <w:pPr>
        <w:overflowPunct w:val="0"/>
        <w:rPr>
          <w:rFonts w:ascii="方正仿宋简体" w:hAnsi="方正仿宋简体" w:eastAsia="方正仿宋简体" w:cs="方正仿宋简体"/>
          <w:snapToGrid w:val="0"/>
          <w:kern w:val="0"/>
          <w:sz w:val="32"/>
          <w:szCs w:val="32"/>
        </w:rPr>
      </w:pPr>
      <w:r>
        <w:rPr>
          <w:rFonts w:hint="eastAsia" w:ascii="方正仿宋简体" w:hAnsi="方正仿宋简体" w:eastAsia="方正仿宋简体" w:cs="方正仿宋简体"/>
          <w:snapToGrid w:val="0"/>
          <w:kern w:val="0"/>
          <w:sz w:val="32"/>
          <w:szCs w:val="32"/>
        </w:rPr>
        <w:br w:type="page"/>
      </w:r>
    </w:p>
    <w:p>
      <w:pPr>
        <w:pStyle w:val="3"/>
        <w:overflowPunct w:val="0"/>
        <w:autoSpaceDE/>
        <w:autoSpaceDN/>
        <w:adjustRightInd w:val="0"/>
        <w:snapToGrid w:val="0"/>
        <w:spacing w:before="0" w:line="600" w:lineRule="exact"/>
        <w:rPr>
          <w:rFonts w:ascii="方正仿宋简体" w:hAnsi="方正仿宋简体" w:eastAsia="方正仿宋简体" w:cs="方正仿宋简体"/>
          <w:snapToGrid w:val="0"/>
        </w:rPr>
        <w:sectPr>
          <w:footerReference r:id="rId5" w:type="first"/>
          <w:footerReference r:id="rId3" w:type="default"/>
          <w:footerReference r:id="rId4" w:type="even"/>
          <w:pgSz w:w="11906" w:h="16838"/>
          <w:pgMar w:top="1701" w:right="1701" w:bottom="1701" w:left="1701" w:header="851" w:footer="1247" w:gutter="0"/>
          <w:pgNumType w:fmt="numberInDash"/>
          <w:cols w:space="425" w:num="1"/>
          <w:titlePg/>
          <w:docGrid w:type="lines" w:linePitch="312" w:charSpace="0"/>
        </w:sectPr>
      </w:pPr>
    </w:p>
    <w:p>
      <w:pPr>
        <w:overflowPunct w:val="0"/>
        <w:spacing w:line="560" w:lineRule="exact"/>
        <w:rPr>
          <w:rFonts w:ascii="方正黑体简体" w:hAnsi="Times New Roman" w:eastAsia="方正黑体简体"/>
          <w:sz w:val="32"/>
          <w:szCs w:val="32"/>
        </w:rPr>
      </w:pPr>
      <w:r>
        <w:rPr>
          <w:rFonts w:hint="eastAsia" w:ascii="方正黑体简体" w:hAnsi="方正黑体_GBK" w:eastAsia="方正黑体简体" w:cs="方正黑体_GBK"/>
          <w:sz w:val="32"/>
          <w:szCs w:val="32"/>
        </w:rPr>
        <w:t>附件</w:t>
      </w:r>
      <w:r>
        <w:rPr>
          <w:rFonts w:hint="eastAsia" w:ascii="方正黑体简体" w:hAnsi="Times New Roman" w:eastAsia="方正黑体简体"/>
          <w:sz w:val="32"/>
          <w:szCs w:val="32"/>
        </w:rPr>
        <w:t>3</w:t>
      </w:r>
    </w:p>
    <w:p>
      <w:pPr>
        <w:overflowPunct w:val="0"/>
        <w:spacing w:line="640" w:lineRule="exact"/>
        <w:jc w:val="center"/>
        <w:rPr>
          <w:rFonts w:ascii="方正小标宋简体" w:hAnsi="方正大标宋_GBK" w:eastAsia="方正小标宋简体" w:cs="方正大标宋_GBK"/>
          <w:w w:val="96"/>
          <w:sz w:val="44"/>
          <w:szCs w:val="44"/>
        </w:rPr>
      </w:pPr>
      <w:r>
        <w:rPr>
          <w:rFonts w:hint="eastAsia" w:ascii="方正小标宋简体" w:hAnsi="方正大标宋_GBK" w:eastAsia="方正小标宋简体" w:cs="方正大标宋_GBK"/>
          <w:w w:val="96"/>
          <w:sz w:val="44"/>
          <w:szCs w:val="44"/>
        </w:rPr>
        <w:t>2024年“振兴杯”全区青年职业技能大赛（职工组）</w:t>
      </w:r>
    </w:p>
    <w:p>
      <w:pPr>
        <w:overflowPunct w:val="0"/>
        <w:spacing w:line="640" w:lineRule="exact"/>
        <w:jc w:val="center"/>
        <w:rPr>
          <w:rFonts w:ascii="方正小标宋简体" w:hAnsi="方正大标宋_GBK" w:eastAsia="方正小标宋简体" w:cs="方正大标宋_GBK"/>
          <w:sz w:val="44"/>
          <w:szCs w:val="44"/>
        </w:rPr>
      </w:pPr>
      <w:r>
        <w:rPr>
          <w:rFonts w:hint="eastAsia" w:ascii="方正小标宋简体" w:hAnsi="方正大标宋_GBK" w:eastAsia="方正小标宋简体" w:cs="方正大标宋_GBK"/>
          <w:w w:val="96"/>
          <w:sz w:val="44"/>
          <w:szCs w:val="44"/>
        </w:rPr>
        <w:t>初赛情况统计表</w:t>
      </w:r>
    </w:p>
    <w:p>
      <w:pPr>
        <w:overflowPunct w:val="0"/>
        <w:rPr>
          <w:rFonts w:eastAsia="方正仿宋_GBK"/>
          <w:szCs w:val="21"/>
        </w:rPr>
      </w:pPr>
    </w:p>
    <w:p>
      <w:pPr>
        <w:overflowPunct w:val="0"/>
        <w:rPr>
          <w:rFonts w:ascii="方正楷体简体" w:hAnsi="方正楷体_GBK" w:eastAsia="方正楷体简体" w:cs="方正楷体_GBK"/>
          <w:sz w:val="24"/>
        </w:rPr>
      </w:pPr>
      <w:r>
        <w:rPr>
          <w:rFonts w:hint="eastAsia" w:ascii="方正楷体简体" w:hAnsi="方正楷体_GBK" w:eastAsia="方正楷体简体" w:cs="方正楷体_GBK"/>
          <w:sz w:val="24"/>
        </w:rPr>
        <w:t>填报单位（盖章）：</w:t>
      </w:r>
      <w:r>
        <w:rPr>
          <w:rFonts w:hint="eastAsia" w:ascii="方正楷体简体" w:hAnsi="方正楷体_GBK" w:eastAsia="方正楷体简体" w:cs="方正楷体_GBK"/>
          <w:sz w:val="24"/>
          <w:u w:val="single"/>
        </w:rPr>
        <w:t xml:space="preserve">                 </w:t>
      </w:r>
      <w:r>
        <w:rPr>
          <w:rFonts w:hint="eastAsia" w:ascii="方正楷体简体" w:hAnsi="方正楷体_GBK" w:eastAsia="方正楷体简体" w:cs="方正楷体_GBK"/>
          <w:sz w:val="24"/>
        </w:rPr>
        <w:t xml:space="preserve">    填表人：</w:t>
      </w:r>
      <w:r>
        <w:rPr>
          <w:rFonts w:hint="eastAsia" w:ascii="方正楷体简体" w:hAnsi="方正楷体_GBK" w:eastAsia="方正楷体简体" w:cs="方正楷体_GBK"/>
          <w:sz w:val="24"/>
          <w:u w:val="single"/>
        </w:rPr>
        <w:t xml:space="preserve">          </w:t>
      </w:r>
      <w:r>
        <w:rPr>
          <w:rFonts w:hint="eastAsia" w:ascii="方正楷体简体" w:hAnsi="方正楷体_GBK" w:eastAsia="方正楷体简体" w:cs="方正楷体_GBK"/>
          <w:sz w:val="24"/>
        </w:rPr>
        <w:t xml:space="preserve">    联系电话：</w:t>
      </w:r>
      <w:r>
        <w:rPr>
          <w:rFonts w:hint="eastAsia" w:ascii="方正楷体简体" w:hAnsi="方正楷体_GBK" w:eastAsia="方正楷体简体" w:cs="方正楷体_GBK"/>
          <w:sz w:val="24"/>
          <w:u w:val="single"/>
        </w:rPr>
        <w:t xml:space="preserve">            </w:t>
      </w:r>
      <w:r>
        <w:rPr>
          <w:rFonts w:hint="eastAsia" w:ascii="方正楷体简体" w:hAnsi="方正楷体_GBK" w:eastAsia="方正楷体简体" w:cs="方正楷体_GBK"/>
          <w:sz w:val="24"/>
        </w:rPr>
        <w:t xml:space="preserve">    填表日期：</w:t>
      </w:r>
      <w:r>
        <w:rPr>
          <w:rFonts w:hint="eastAsia" w:ascii="方正楷体简体" w:hAnsi="方正楷体_GBK" w:eastAsia="方正楷体简体" w:cs="方正楷体_GBK"/>
          <w:sz w:val="24"/>
          <w:u w:val="single"/>
        </w:rPr>
        <w:t xml:space="preserve">    </w:t>
      </w:r>
      <w:r>
        <w:rPr>
          <w:rFonts w:hint="eastAsia" w:ascii="方正楷体简体" w:hAnsi="方正楷体_GBK" w:eastAsia="方正楷体简体" w:cs="方正楷体_GBK"/>
          <w:sz w:val="24"/>
        </w:rPr>
        <w:t>年</w:t>
      </w:r>
      <w:r>
        <w:rPr>
          <w:rFonts w:hint="eastAsia" w:ascii="方正楷体简体" w:hAnsi="方正楷体_GBK" w:eastAsia="方正楷体简体" w:cs="方正楷体_GBK"/>
          <w:sz w:val="24"/>
          <w:u w:val="single"/>
        </w:rPr>
        <w:t xml:space="preserve">  </w:t>
      </w:r>
      <w:r>
        <w:rPr>
          <w:rFonts w:hint="eastAsia" w:ascii="方正楷体简体" w:hAnsi="方正楷体_GBK" w:eastAsia="方正楷体简体" w:cs="方正楷体_GBK"/>
          <w:sz w:val="24"/>
        </w:rPr>
        <w:t>月</w:t>
      </w:r>
      <w:r>
        <w:rPr>
          <w:rFonts w:hint="eastAsia" w:ascii="方正楷体简体" w:hAnsi="方正楷体_GBK" w:eastAsia="方正楷体简体" w:cs="方正楷体_GBK"/>
          <w:sz w:val="24"/>
          <w:u w:val="single"/>
        </w:rPr>
        <w:t xml:space="preserve">  </w:t>
      </w:r>
      <w:r>
        <w:rPr>
          <w:rFonts w:hint="eastAsia" w:ascii="方正楷体简体" w:hAnsi="方正楷体_GBK" w:eastAsia="方正楷体简体" w:cs="方正楷体_GBK"/>
          <w:sz w:val="24"/>
        </w:rPr>
        <w:t>日</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3"/>
        <w:gridCol w:w="4162"/>
        <w:gridCol w:w="1338"/>
        <w:gridCol w:w="1783"/>
        <w:gridCol w:w="1286"/>
        <w:gridCol w:w="1813"/>
        <w:gridCol w:w="1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37" w:type="pct"/>
            <w:vMerge w:val="restar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主体赛</w:t>
            </w:r>
          </w:p>
        </w:tc>
        <w:tc>
          <w:tcPr>
            <w:tcW w:w="1524"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本单位开展的初赛场次</w:t>
            </w:r>
          </w:p>
        </w:tc>
        <w:tc>
          <w:tcPr>
            <w:tcW w:w="490" w:type="pct"/>
            <w:vAlign w:val="center"/>
          </w:tcPr>
          <w:p>
            <w:pPr>
              <w:overflowPunct w:val="0"/>
              <w:spacing w:line="320" w:lineRule="exact"/>
              <w:rPr>
                <w:rFonts w:cs="方正仿宋_GBK" w:asciiTheme="minorEastAsia" w:hAnsiTheme="minorEastAsia"/>
                <w:sz w:val="24"/>
              </w:rPr>
            </w:pPr>
          </w:p>
        </w:tc>
        <w:tc>
          <w:tcPr>
            <w:tcW w:w="653"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初赛</w:t>
            </w:r>
          </w:p>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覆盖青年人数</w:t>
            </w:r>
          </w:p>
        </w:tc>
        <w:tc>
          <w:tcPr>
            <w:tcW w:w="1595" w:type="pct"/>
            <w:gridSpan w:val="3"/>
            <w:vAlign w:val="center"/>
          </w:tcPr>
          <w:p>
            <w:pPr>
              <w:overflowPunct w:val="0"/>
              <w:spacing w:line="320" w:lineRule="exact"/>
              <w:rPr>
                <w:rFonts w:cs="方正仿宋_GBK"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37" w:type="pct"/>
            <w:vMerge w:val="continue"/>
            <w:vAlign w:val="center"/>
          </w:tcPr>
          <w:p>
            <w:pPr>
              <w:overflowPunct w:val="0"/>
              <w:spacing w:line="320" w:lineRule="exact"/>
              <w:jc w:val="left"/>
              <w:rPr>
                <w:rFonts w:cs="方正仿宋_GBK" w:asciiTheme="minorEastAsia" w:hAnsiTheme="minorEastAsia"/>
                <w:sz w:val="24"/>
              </w:rPr>
            </w:pPr>
          </w:p>
        </w:tc>
        <w:tc>
          <w:tcPr>
            <w:tcW w:w="1524"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初赛期间开展的青年技能人才、</w:t>
            </w:r>
          </w:p>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青年岗位能手交流分享活动场次</w:t>
            </w:r>
          </w:p>
        </w:tc>
        <w:tc>
          <w:tcPr>
            <w:tcW w:w="490" w:type="pct"/>
            <w:vAlign w:val="center"/>
          </w:tcPr>
          <w:p>
            <w:pPr>
              <w:overflowPunct w:val="0"/>
              <w:spacing w:line="320" w:lineRule="exact"/>
              <w:rPr>
                <w:rFonts w:cs="方正仿宋_GBK" w:asciiTheme="minorEastAsia" w:hAnsiTheme="minorEastAsia"/>
                <w:sz w:val="24"/>
              </w:rPr>
            </w:pPr>
          </w:p>
        </w:tc>
        <w:tc>
          <w:tcPr>
            <w:tcW w:w="653"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覆盖青年人数</w:t>
            </w:r>
          </w:p>
        </w:tc>
        <w:tc>
          <w:tcPr>
            <w:tcW w:w="1595" w:type="pct"/>
            <w:gridSpan w:val="3"/>
            <w:vAlign w:val="center"/>
          </w:tcPr>
          <w:p>
            <w:pPr>
              <w:overflowPunct w:val="0"/>
              <w:spacing w:line="320" w:lineRule="exact"/>
              <w:rPr>
                <w:rFonts w:cs="方正仿宋_GBK"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37" w:type="pct"/>
            <w:vMerge w:val="continue"/>
            <w:vAlign w:val="center"/>
          </w:tcPr>
          <w:p>
            <w:pPr>
              <w:overflowPunct w:val="0"/>
              <w:spacing w:line="320" w:lineRule="exact"/>
              <w:jc w:val="left"/>
              <w:rPr>
                <w:rFonts w:cs="方正仿宋_GBK" w:asciiTheme="minorEastAsia" w:hAnsiTheme="minorEastAsia"/>
                <w:sz w:val="24"/>
              </w:rPr>
            </w:pPr>
          </w:p>
        </w:tc>
        <w:tc>
          <w:tcPr>
            <w:tcW w:w="1524"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本单位各级团组织开展的</w:t>
            </w:r>
          </w:p>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青年职业技能培训场次</w:t>
            </w:r>
          </w:p>
        </w:tc>
        <w:tc>
          <w:tcPr>
            <w:tcW w:w="490" w:type="pct"/>
            <w:vAlign w:val="center"/>
          </w:tcPr>
          <w:p>
            <w:pPr>
              <w:overflowPunct w:val="0"/>
              <w:spacing w:line="320" w:lineRule="exact"/>
              <w:rPr>
                <w:rFonts w:cs="方正仿宋_GBK" w:asciiTheme="minorEastAsia" w:hAnsiTheme="minorEastAsia"/>
                <w:sz w:val="24"/>
              </w:rPr>
            </w:pPr>
          </w:p>
        </w:tc>
        <w:tc>
          <w:tcPr>
            <w:tcW w:w="653"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覆盖青年人数</w:t>
            </w:r>
          </w:p>
        </w:tc>
        <w:tc>
          <w:tcPr>
            <w:tcW w:w="471" w:type="pct"/>
            <w:vAlign w:val="center"/>
          </w:tcPr>
          <w:p>
            <w:pPr>
              <w:overflowPunct w:val="0"/>
              <w:spacing w:line="320" w:lineRule="exact"/>
              <w:rPr>
                <w:rFonts w:cs="方正仿宋_GBK" w:asciiTheme="minorEastAsia" w:hAnsiTheme="minorEastAsia"/>
                <w:sz w:val="24"/>
              </w:rPr>
            </w:pPr>
          </w:p>
        </w:tc>
        <w:tc>
          <w:tcPr>
            <w:tcW w:w="664"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人均培训天数</w:t>
            </w:r>
          </w:p>
        </w:tc>
        <w:tc>
          <w:tcPr>
            <w:tcW w:w="460" w:type="pct"/>
            <w:vAlign w:val="center"/>
          </w:tcPr>
          <w:p>
            <w:pPr>
              <w:overflowPunct w:val="0"/>
              <w:spacing w:line="320" w:lineRule="exact"/>
              <w:rPr>
                <w:rFonts w:cs="方正仿宋_GBK"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37"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专项赛</w:t>
            </w:r>
          </w:p>
        </w:tc>
        <w:tc>
          <w:tcPr>
            <w:tcW w:w="1524"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本单位开展的初赛场次</w:t>
            </w:r>
          </w:p>
        </w:tc>
        <w:tc>
          <w:tcPr>
            <w:tcW w:w="490" w:type="pct"/>
            <w:vAlign w:val="center"/>
          </w:tcPr>
          <w:p>
            <w:pPr>
              <w:overflowPunct w:val="0"/>
              <w:spacing w:line="320" w:lineRule="exact"/>
              <w:rPr>
                <w:rFonts w:cs="方正仿宋_GBK" w:asciiTheme="minorEastAsia" w:hAnsiTheme="minorEastAsia"/>
                <w:sz w:val="24"/>
              </w:rPr>
            </w:pPr>
          </w:p>
        </w:tc>
        <w:tc>
          <w:tcPr>
            <w:tcW w:w="653"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初赛</w:t>
            </w:r>
          </w:p>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征集项目总数</w:t>
            </w:r>
          </w:p>
        </w:tc>
        <w:tc>
          <w:tcPr>
            <w:tcW w:w="471" w:type="pct"/>
            <w:vAlign w:val="center"/>
          </w:tcPr>
          <w:p>
            <w:pPr>
              <w:overflowPunct w:val="0"/>
              <w:spacing w:line="320" w:lineRule="exact"/>
              <w:rPr>
                <w:rFonts w:cs="方正仿宋_GBK" w:asciiTheme="minorEastAsia" w:hAnsiTheme="minorEastAsia"/>
                <w:sz w:val="24"/>
              </w:rPr>
            </w:pPr>
          </w:p>
        </w:tc>
        <w:tc>
          <w:tcPr>
            <w:tcW w:w="664" w:type="pct"/>
            <w:vAlign w:val="center"/>
          </w:tcPr>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初赛</w:t>
            </w:r>
          </w:p>
          <w:p>
            <w:pPr>
              <w:overflowPunct w:val="0"/>
              <w:spacing w:line="320" w:lineRule="exact"/>
              <w:jc w:val="center"/>
              <w:rPr>
                <w:rFonts w:cs="方正仿宋_GBK" w:asciiTheme="minorEastAsia" w:hAnsiTheme="minorEastAsia"/>
                <w:sz w:val="24"/>
              </w:rPr>
            </w:pPr>
            <w:r>
              <w:rPr>
                <w:rFonts w:hint="eastAsia" w:cs="方正仿宋_GBK" w:asciiTheme="minorEastAsia" w:hAnsiTheme="minorEastAsia"/>
                <w:sz w:val="24"/>
              </w:rPr>
              <w:t>覆盖青年人数</w:t>
            </w:r>
          </w:p>
        </w:tc>
        <w:tc>
          <w:tcPr>
            <w:tcW w:w="460" w:type="pct"/>
            <w:vAlign w:val="center"/>
          </w:tcPr>
          <w:p>
            <w:pPr>
              <w:overflowPunct w:val="0"/>
              <w:spacing w:line="320" w:lineRule="exact"/>
              <w:rPr>
                <w:rFonts w:cs="方正仿宋_GBK" w:asciiTheme="minorEastAsia" w:hAnsiTheme="minorEastAsia"/>
                <w:sz w:val="24"/>
              </w:rPr>
            </w:pPr>
          </w:p>
        </w:tc>
      </w:tr>
    </w:tbl>
    <w:p>
      <w:pPr>
        <w:pStyle w:val="3"/>
        <w:overflowPunct w:val="0"/>
        <w:autoSpaceDE/>
        <w:autoSpaceDN/>
        <w:adjustRightInd w:val="0"/>
        <w:snapToGrid w:val="0"/>
        <w:spacing w:before="0" w:line="600" w:lineRule="exact"/>
        <w:ind w:left="0"/>
        <w:rPr>
          <w:rFonts w:ascii="方正仿宋简体" w:hAnsi="方正仿宋简体" w:eastAsia="方正仿宋简体" w:cs="方正仿宋简体"/>
          <w:snapToGrid w:val="0"/>
        </w:rPr>
      </w:pPr>
    </w:p>
    <w:sectPr>
      <w:footerReference r:id="rId6" w:type="default"/>
      <w:pgSz w:w="16838" w:h="11906" w:orient="landscape"/>
      <w:pgMar w:top="1701" w:right="1701" w:bottom="1701" w:left="1701" w:header="851" w:footer="124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方正大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黑体_GBK">
    <w:altName w:val="微软雅黑"/>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方正大标宋_GBK">
    <w:altName w:val="Microsoft YaHei UI"/>
    <w:panose1 w:val="00000000000000000000"/>
    <w:charset w:val="86"/>
    <w:family w:val="auto"/>
    <w:pitch w:val="default"/>
    <w:sig w:usb0="00000000" w:usb1="00000000" w:usb2="00000000" w:usb3="00000000" w:csb0="00040000" w:csb1="00000000"/>
  </w:font>
  <w:font w:name="方正仿宋_GBK">
    <w:altName w:val="等线"/>
    <w:panose1 w:val="00000000000000000000"/>
    <w:charset w:val="86"/>
    <w:family w:val="auto"/>
    <w:pitch w:val="default"/>
    <w:sig w:usb0="00000000" w:usb1="00000000" w:usb2="00000000" w:usb3="00000000" w:csb0="00040000" w:csb1="00000000"/>
  </w:font>
  <w:font w:name="方正楷体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4685262"/>
      <w:docPartObj>
        <w:docPartGallery w:val="AutoText"/>
      </w:docPartObj>
    </w:sdtPr>
    <w:sdtEndPr>
      <w:rPr>
        <w:rFonts w:asciiTheme="minorEastAsia" w:hAnsiTheme="minorEastAsia"/>
        <w:sz w:val="24"/>
      </w:rPr>
    </w:sdtEndPr>
    <w:sdtContent>
      <w:p>
        <w:pPr>
          <w:pStyle w:val="7"/>
          <w:jc w:val="right"/>
          <w:rPr>
            <w:rFonts w:asciiTheme="minorEastAsia" w:hAnsiTheme="minorEastAsia"/>
            <w:sz w:val="24"/>
          </w:rPr>
        </w:pPr>
        <w:r>
          <w:rPr>
            <w:rFonts w:asciiTheme="minorEastAsia" w:hAnsiTheme="minorEastAsia"/>
            <w:sz w:val="24"/>
          </w:rPr>
          <w:fldChar w:fldCharType="begin"/>
        </w:r>
        <w:r>
          <w:rPr>
            <w:rFonts w:asciiTheme="minorEastAsia" w:hAnsiTheme="minorEastAsia"/>
            <w:sz w:val="24"/>
          </w:rPr>
          <w:instrText xml:space="preserve">PAGE   \* MERGEFORMAT</w:instrText>
        </w:r>
        <w:r>
          <w:rPr>
            <w:rFonts w:asciiTheme="minorEastAsia" w:hAnsiTheme="minorEastAsia"/>
            <w:sz w:val="24"/>
          </w:rPr>
          <w:fldChar w:fldCharType="separate"/>
        </w:r>
        <w:r>
          <w:rPr>
            <w:rFonts w:asciiTheme="minorEastAsia" w:hAnsiTheme="minorEastAsia"/>
            <w:sz w:val="24"/>
            <w:lang w:val="zh-CN"/>
          </w:rPr>
          <w:t>-</w:t>
        </w:r>
        <w:r>
          <w:rPr>
            <w:rFonts w:asciiTheme="minorEastAsia" w:hAnsiTheme="minorEastAsia"/>
            <w:sz w:val="24"/>
          </w:rPr>
          <w:t xml:space="preserve"> 11 -</w:t>
        </w:r>
        <w:r>
          <w:rPr>
            <w:rFonts w:asciiTheme="minorEastAsia" w:hAnsiTheme="minorEastAsia"/>
            <w:sz w:val="24"/>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8149548"/>
      <w:docPartObj>
        <w:docPartGallery w:val="AutoText"/>
      </w:docPartObj>
    </w:sdtPr>
    <w:sdtEndPr>
      <w:rPr>
        <w:rFonts w:asciiTheme="minorEastAsia" w:hAnsiTheme="minorEastAsia"/>
        <w:sz w:val="24"/>
      </w:rPr>
    </w:sdtEndPr>
    <w:sdtContent>
      <w:p>
        <w:pPr>
          <w:pStyle w:val="7"/>
          <w:rPr>
            <w:rFonts w:asciiTheme="minorEastAsia" w:hAnsiTheme="minorEastAsia"/>
            <w:sz w:val="24"/>
          </w:rPr>
        </w:pPr>
        <w:r>
          <w:rPr>
            <w:rFonts w:asciiTheme="minorEastAsia" w:hAnsiTheme="minorEastAsia"/>
            <w:sz w:val="24"/>
          </w:rPr>
          <w:fldChar w:fldCharType="begin"/>
        </w:r>
        <w:r>
          <w:rPr>
            <w:rFonts w:asciiTheme="minorEastAsia" w:hAnsiTheme="minorEastAsia"/>
            <w:sz w:val="24"/>
          </w:rPr>
          <w:instrText xml:space="preserve">PAGE   \* MERGEFORMAT</w:instrText>
        </w:r>
        <w:r>
          <w:rPr>
            <w:rFonts w:asciiTheme="minorEastAsia" w:hAnsiTheme="minorEastAsia"/>
            <w:sz w:val="24"/>
          </w:rPr>
          <w:fldChar w:fldCharType="separate"/>
        </w:r>
        <w:r>
          <w:rPr>
            <w:rFonts w:asciiTheme="minorEastAsia" w:hAnsiTheme="minorEastAsia"/>
            <w:sz w:val="24"/>
            <w:lang w:val="zh-CN"/>
          </w:rPr>
          <w:t>-</w:t>
        </w:r>
        <w:r>
          <w:rPr>
            <w:rFonts w:asciiTheme="minorEastAsia" w:hAnsiTheme="minorEastAsia"/>
            <w:sz w:val="24"/>
          </w:rPr>
          <w:t xml:space="preserve"> 12 -</w:t>
        </w:r>
        <w:r>
          <w:rPr>
            <w:rFonts w:asciiTheme="minorEastAsia" w:hAnsiTheme="minorEastAsia"/>
            <w:sz w:val="24"/>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cs="Times New Roman" w:asciiTheme="minorEastAsia" w:hAnsiTheme="minorEastAsia"/>
        <w:bCs/>
        <w:sz w:val="24"/>
      </w:rPr>
    </w:pPr>
    <w:r>
      <w:rPr>
        <w:rFonts w:cs="Times New Roman" w:asciiTheme="minorEastAsia" w:hAnsiTheme="minorEastAsia"/>
        <w:bCs/>
        <w:sz w:val="24"/>
      </w:rPr>
      <w:fldChar w:fldCharType="begin"/>
    </w:r>
    <w:r>
      <w:rPr>
        <w:rFonts w:cs="Times New Roman" w:asciiTheme="minorEastAsia" w:hAnsiTheme="minorEastAsia"/>
        <w:bCs/>
        <w:sz w:val="24"/>
      </w:rPr>
      <w:instrText xml:space="preserve">PAGE   \* MERGEFORMAT</w:instrText>
    </w:r>
    <w:r>
      <w:rPr>
        <w:rFonts w:cs="Times New Roman" w:asciiTheme="minorEastAsia" w:hAnsiTheme="minorEastAsia"/>
        <w:bCs/>
        <w:sz w:val="24"/>
      </w:rPr>
      <w:fldChar w:fldCharType="separate"/>
    </w:r>
    <w:r>
      <w:rPr>
        <w:rFonts w:cs="Times New Roman" w:asciiTheme="minorEastAsia" w:hAnsiTheme="minorEastAsia"/>
        <w:bCs/>
        <w:sz w:val="24"/>
        <w:lang w:val="zh-CN"/>
      </w:rPr>
      <w:t>-</w:t>
    </w:r>
    <w:r>
      <w:rPr>
        <w:rFonts w:cs="Times New Roman" w:asciiTheme="minorEastAsia" w:hAnsiTheme="minorEastAsia"/>
        <w:bCs/>
        <w:sz w:val="24"/>
      </w:rPr>
      <w:t xml:space="preserve"> 19 -</w:t>
    </w:r>
    <w:r>
      <w:rPr>
        <w:rFonts w:cs="Times New Roman" w:asciiTheme="minorEastAsia" w:hAnsiTheme="minorEastAsia"/>
        <w:bCs/>
        <w:sz w:val="24"/>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FF8B9D"/>
    <w:multiLevelType w:val="singleLevel"/>
    <w:tmpl w:val="B7FF8B9D"/>
    <w:lvl w:ilvl="0" w:tentative="0">
      <w:start w:val="2"/>
      <w:numFmt w:val="decimal"/>
      <w:suff w:val="nothing"/>
      <w:lvlText w:val="（%1）"/>
      <w:lvlJc w:val="left"/>
    </w:lvl>
  </w:abstractNum>
  <w:abstractNum w:abstractNumId="1">
    <w:nsid w:val="EDEE7BB2"/>
    <w:multiLevelType w:val="singleLevel"/>
    <w:tmpl w:val="EDEE7BB2"/>
    <w:lvl w:ilvl="0" w:tentative="0">
      <w:start w:val="1"/>
      <w:numFmt w:val="decimalEnclosedCircleChinese"/>
      <w:suff w:val="nothing"/>
      <w:lvlText w:val="%1　"/>
      <w:lvlJc w:val="left"/>
      <w:pPr>
        <w:tabs>
          <w:tab w:val="left" w:pos="0"/>
        </w:tabs>
        <w:ind w:left="0" w:firstLine="40"/>
      </w:pPr>
      <w:rPr>
        <w:rFonts w:hint="eastAsia"/>
      </w:rPr>
    </w:lvl>
  </w:abstractNum>
  <w:abstractNum w:abstractNumId="2">
    <w:nsid w:val="79BFFB70"/>
    <w:multiLevelType w:val="singleLevel"/>
    <w:tmpl w:val="79BFFB70"/>
    <w:lvl w:ilvl="0" w:tentative="0">
      <w:start w:val="1"/>
      <w:numFmt w:val="decimalEnclosedCircleChinese"/>
      <w:suff w:val="nothing"/>
      <w:lvlText w:val="%1　"/>
      <w:lvlJc w:val="left"/>
      <w:pPr>
        <w:ind w:left="0" w:firstLine="397"/>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19"/>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kNWIwOGQwZmRlMDkwYjNlMjRlZjQ4MzM5MjhiZjQifQ=="/>
  </w:docVars>
  <w:rsids>
    <w:rsidRoot w:val="00C133FA"/>
    <w:rsid w:val="00340BC6"/>
    <w:rsid w:val="00352154"/>
    <w:rsid w:val="003731CB"/>
    <w:rsid w:val="004E64F2"/>
    <w:rsid w:val="00775594"/>
    <w:rsid w:val="00885DCF"/>
    <w:rsid w:val="008A7270"/>
    <w:rsid w:val="00934A19"/>
    <w:rsid w:val="0095218E"/>
    <w:rsid w:val="00C133FA"/>
    <w:rsid w:val="00CF7693"/>
    <w:rsid w:val="00DB48BF"/>
    <w:rsid w:val="00E421FD"/>
    <w:rsid w:val="177B61CB"/>
    <w:rsid w:val="1FEF9F32"/>
    <w:rsid w:val="2D7FD16E"/>
    <w:rsid w:val="3B6D7D8D"/>
    <w:rsid w:val="3EFC8B11"/>
    <w:rsid w:val="592F1515"/>
    <w:rsid w:val="5FB72C8A"/>
    <w:rsid w:val="73DF53BC"/>
    <w:rsid w:val="77B5ECB4"/>
    <w:rsid w:val="7CF806D2"/>
    <w:rsid w:val="7DFF3520"/>
    <w:rsid w:val="7EFEA77D"/>
    <w:rsid w:val="7F1FC654"/>
    <w:rsid w:val="A7ADC14C"/>
    <w:rsid w:val="BFA992F1"/>
    <w:rsid w:val="DFD7306E"/>
    <w:rsid w:val="F91D9132"/>
    <w:rsid w:val="FAFFD104"/>
    <w:rsid w:val="FFA15B42"/>
    <w:rsid w:val="FFF7A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next w:val="4"/>
    <w:autoRedefine/>
    <w:qFormat/>
    <w:uiPriority w:val="0"/>
    <w:pPr>
      <w:spacing w:line="560" w:lineRule="exact"/>
      <w:ind w:firstLine="720" w:firstLineChars="200"/>
    </w:pPr>
  </w:style>
  <w:style w:type="paragraph" w:styleId="3">
    <w:name w:val="Body Text"/>
    <w:basedOn w:val="1"/>
    <w:autoRedefine/>
    <w:qFormat/>
    <w:uiPriority w:val="1"/>
    <w:pPr>
      <w:autoSpaceDE w:val="0"/>
      <w:autoSpaceDN w:val="0"/>
      <w:spacing w:before="24"/>
      <w:ind w:left="121"/>
      <w:jc w:val="left"/>
    </w:pPr>
    <w:rPr>
      <w:rFonts w:ascii="Arial Unicode MS" w:hAnsi="Arial Unicode MS" w:eastAsia="Arial Unicode MS" w:cs="Arial Unicode MS"/>
      <w:kern w:val="0"/>
      <w:sz w:val="32"/>
      <w:szCs w:val="32"/>
      <w:lang w:val="zh-CN" w:bidi="zh-CN"/>
    </w:rPr>
  </w:style>
  <w:style w:type="paragraph" w:styleId="4">
    <w:name w:val="Body Text First Indent 2"/>
    <w:basedOn w:val="5"/>
    <w:next w:val="1"/>
    <w:autoRedefine/>
    <w:qFormat/>
    <w:uiPriority w:val="0"/>
    <w:pPr>
      <w:spacing w:after="120"/>
      <w:ind w:left="420" w:firstLine="210" w:firstLineChars="0"/>
    </w:pPr>
  </w:style>
  <w:style w:type="paragraph" w:styleId="5">
    <w:name w:val="Body Text Indent"/>
    <w:basedOn w:val="1"/>
    <w:next w:val="1"/>
    <w:autoRedefine/>
    <w:qFormat/>
    <w:uiPriority w:val="0"/>
    <w:pPr>
      <w:ind w:firstLine="480" w:firstLineChars="200"/>
    </w:pPr>
    <w:rPr>
      <w:rFonts w:hAnsi="宋体"/>
    </w:rPr>
  </w:style>
  <w:style w:type="paragraph" w:styleId="6">
    <w:name w:val="Balloon Text"/>
    <w:basedOn w:val="1"/>
    <w:link w:val="15"/>
    <w:autoRedefine/>
    <w:qFormat/>
    <w:uiPriority w:val="0"/>
    <w:rPr>
      <w:sz w:val="18"/>
      <w:szCs w:val="18"/>
    </w:rPr>
  </w:style>
  <w:style w:type="paragraph" w:styleId="7">
    <w:name w:val="footer"/>
    <w:basedOn w:val="1"/>
    <w:link w:val="14"/>
    <w:autoRedefine/>
    <w:qFormat/>
    <w:uiPriority w:val="99"/>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autoRedefine/>
    <w:qFormat/>
    <w:uiPriority w:val="0"/>
    <w:pPr>
      <w:spacing w:beforeAutospacing="1" w:afterAutospacing="1"/>
      <w:jc w:val="left"/>
    </w:pPr>
    <w:rPr>
      <w:rFonts w:cs="Times New Roman"/>
      <w:kern w:val="0"/>
      <w:sz w:val="24"/>
    </w:rPr>
  </w:style>
  <w:style w:type="character" w:styleId="12">
    <w:name w:val="Strong"/>
    <w:basedOn w:val="11"/>
    <w:autoRedefine/>
    <w:qFormat/>
    <w:uiPriority w:val="0"/>
    <w:rPr>
      <w:b/>
    </w:rPr>
  </w:style>
  <w:style w:type="character" w:styleId="13">
    <w:name w:val="Hyperlink"/>
    <w:basedOn w:val="11"/>
    <w:autoRedefine/>
    <w:qFormat/>
    <w:uiPriority w:val="0"/>
    <w:rPr>
      <w:color w:val="0000FF"/>
      <w:u w:val="single"/>
    </w:rPr>
  </w:style>
  <w:style w:type="character" w:customStyle="1" w:styleId="14">
    <w:name w:val="页脚 字符"/>
    <w:basedOn w:val="11"/>
    <w:link w:val="7"/>
    <w:autoRedefine/>
    <w:qFormat/>
    <w:uiPriority w:val="99"/>
    <w:rPr>
      <w:rFonts w:asciiTheme="minorHAnsi" w:hAnsiTheme="minorHAnsi" w:eastAsiaTheme="minorEastAsia" w:cstheme="minorBidi"/>
      <w:kern w:val="2"/>
      <w:sz w:val="18"/>
      <w:szCs w:val="24"/>
    </w:rPr>
  </w:style>
  <w:style w:type="character" w:customStyle="1" w:styleId="15">
    <w:name w:val="批注框文本 字符"/>
    <w:basedOn w:val="11"/>
    <w:link w:val="6"/>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1062</Words>
  <Characters>6058</Characters>
  <Lines>50</Lines>
  <Paragraphs>14</Paragraphs>
  <TotalTime>189</TotalTime>
  <ScaleCrop>false</ScaleCrop>
  <LinksUpToDate>false</LinksUpToDate>
  <CharactersWithSpaces>7106</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2024-07-19T16:45:00Z</dcterms:created>
  <dc:creator>45591</dc:creator>
  <cp:lastModifiedBy>甲子六月</cp:lastModifiedBy>
  <cp:lastPrinted>2024-07-30T03:00:00Z</cp:lastPrinted>
  <dcterms:modified xsi:type="dcterms:W3CDTF">2024-07-30T03:52:30Z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7BA6501EA2BEF7B5113AA7663EFE1E2E_43</vt:lpwstr>
  </property>
</Properties>
</file>